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D60" w:rsidRPr="00FB6AFA" w:rsidRDefault="00FB6AFA" w:rsidP="00FB6AFA">
      <w:pPr>
        <w:jc w:val="center"/>
        <w:rPr>
          <w:rFonts w:ascii="Avenir Next" w:hAnsi="Avenir Next"/>
          <w:b/>
          <w:sz w:val="22"/>
          <w:szCs w:val="22"/>
        </w:rPr>
      </w:pPr>
      <w:bookmarkStart w:id="0" w:name="_GoBack"/>
      <w:bookmarkEnd w:id="0"/>
      <w:r w:rsidRPr="00FB6AFA">
        <w:rPr>
          <w:rFonts w:ascii="Calibri" w:hAnsi="Calibri" w:cs="Calibri"/>
          <w:noProof/>
          <w:color w:val="18376A"/>
          <w:sz w:val="22"/>
          <w:szCs w:val="22"/>
          <w:lang w:val="en-US"/>
        </w:rPr>
        <w:drawing>
          <wp:anchor distT="0" distB="0" distL="114300" distR="114300" simplePos="0" relativeHeight="251661312" behindDoc="0" locked="0" layoutInCell="1" allowOverlap="1">
            <wp:simplePos x="0" y="0"/>
            <wp:positionH relativeFrom="column">
              <wp:posOffset>2565400</wp:posOffset>
            </wp:positionH>
            <wp:positionV relativeFrom="paragraph">
              <wp:posOffset>0</wp:posOffset>
            </wp:positionV>
            <wp:extent cx="1041400" cy="9779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12" t="12422" r="11132" b="13999"/>
                    <a:stretch/>
                  </pic:blipFill>
                  <pic:spPr bwMode="auto">
                    <a:xfrm>
                      <a:off x="0" y="0"/>
                      <a:ext cx="1041400" cy="977900"/>
                    </a:xfrm>
                    <a:prstGeom prst="rect">
                      <a:avLst/>
                    </a:prstGeom>
                    <a:noFill/>
                    <a:ln>
                      <a:noFill/>
                    </a:ln>
                    <a:extLst>
                      <a:ext uri="{53640926-AAD7-44D8-BBD7-CCE9431645EC}">
                        <a14:shadowObscured xmlns:a14="http://schemas.microsoft.com/office/drawing/2010/main"/>
                      </a:ext>
                    </a:extLst>
                  </pic:spPr>
                </pic:pic>
              </a:graphicData>
            </a:graphic>
          </wp:anchor>
        </w:drawing>
      </w:r>
      <w:r w:rsidRPr="00FB6AFA">
        <w:rPr>
          <w:noProof/>
          <w:sz w:val="22"/>
          <w:szCs w:val="22"/>
          <w:lang w:val="en-US"/>
        </w:rPr>
        <w:drawing>
          <wp:anchor distT="0" distB="0" distL="114300" distR="114300" simplePos="0" relativeHeight="251662336" behindDoc="0" locked="0" layoutInCell="1" allowOverlap="1">
            <wp:simplePos x="0" y="0"/>
            <wp:positionH relativeFrom="column">
              <wp:posOffset>4394200</wp:posOffset>
            </wp:positionH>
            <wp:positionV relativeFrom="paragraph">
              <wp:posOffset>0</wp:posOffset>
            </wp:positionV>
            <wp:extent cx="1460500" cy="1011555"/>
            <wp:effectExtent l="0" t="0" r="0" b="44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ropean_Commissi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0500" cy="1011555"/>
                    </a:xfrm>
                    <a:prstGeom prst="rect">
                      <a:avLst/>
                    </a:prstGeom>
                  </pic:spPr>
                </pic:pic>
              </a:graphicData>
            </a:graphic>
          </wp:anchor>
        </w:drawing>
      </w:r>
    </w:p>
    <w:p w:rsidR="00CF3C13" w:rsidRPr="00FB6AFA" w:rsidRDefault="00FB6AFA" w:rsidP="0040281D">
      <w:pPr>
        <w:jc w:val="center"/>
        <w:rPr>
          <w:rFonts w:ascii="Avenir Next" w:hAnsi="Avenir Next"/>
          <w:b/>
          <w:sz w:val="22"/>
          <w:szCs w:val="22"/>
        </w:rPr>
      </w:pPr>
      <w:r w:rsidRPr="00FB6AFA">
        <w:rPr>
          <w:noProof/>
          <w:sz w:val="22"/>
          <w:szCs w:val="22"/>
          <w:lang w:val="en-US"/>
        </w:rPr>
        <w:drawing>
          <wp:anchor distT="0" distB="0" distL="114300" distR="114300" simplePos="0" relativeHeight="251660288" behindDoc="0" locked="0" layoutInCell="1" allowOverlap="1">
            <wp:simplePos x="0" y="0"/>
            <wp:positionH relativeFrom="column">
              <wp:posOffset>115570</wp:posOffset>
            </wp:positionH>
            <wp:positionV relativeFrom="paragraph">
              <wp:posOffset>62865</wp:posOffset>
            </wp:positionV>
            <wp:extent cx="2214880" cy="59753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EA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14880" cy="597535"/>
                    </a:xfrm>
                    <a:prstGeom prst="rect">
                      <a:avLst/>
                    </a:prstGeom>
                  </pic:spPr>
                </pic:pic>
              </a:graphicData>
            </a:graphic>
          </wp:anchor>
        </w:drawing>
      </w:r>
    </w:p>
    <w:p w:rsidR="00FB6AFA" w:rsidRPr="00FB6AFA" w:rsidRDefault="00FB6AFA" w:rsidP="00D67B13">
      <w:pPr>
        <w:jc w:val="both"/>
        <w:rPr>
          <w:rFonts w:ascii="Avenir Next" w:hAnsi="Avenir Next"/>
          <w:i/>
          <w:sz w:val="22"/>
          <w:szCs w:val="22"/>
        </w:rPr>
      </w:pPr>
    </w:p>
    <w:p w:rsidR="00FB6AFA" w:rsidRPr="00FB6AFA" w:rsidRDefault="00FB6AFA" w:rsidP="00D67B13">
      <w:pPr>
        <w:jc w:val="both"/>
        <w:rPr>
          <w:rFonts w:ascii="Avenir Next" w:hAnsi="Avenir Next"/>
          <w:i/>
          <w:sz w:val="22"/>
          <w:szCs w:val="22"/>
        </w:rPr>
      </w:pPr>
    </w:p>
    <w:p w:rsidR="00FB6AFA" w:rsidRPr="00FB6AFA" w:rsidRDefault="00FB6AFA" w:rsidP="00D67B13">
      <w:pPr>
        <w:jc w:val="both"/>
        <w:rPr>
          <w:rFonts w:ascii="Avenir Next" w:hAnsi="Avenir Next"/>
          <w:i/>
          <w:sz w:val="22"/>
          <w:szCs w:val="22"/>
        </w:rPr>
      </w:pPr>
    </w:p>
    <w:p w:rsidR="00FB6AFA" w:rsidRPr="00FB6AFA" w:rsidRDefault="0089018B" w:rsidP="00D67B13">
      <w:pPr>
        <w:jc w:val="both"/>
        <w:rPr>
          <w:rFonts w:ascii="Avenir Next" w:hAnsi="Avenir Next"/>
          <w:i/>
          <w:sz w:val="22"/>
          <w:szCs w:val="22"/>
        </w:rPr>
      </w:pPr>
      <w:r>
        <w:rPr>
          <w:rFonts w:ascii="Avenir Next" w:hAnsi="Avenir Next"/>
          <w:i/>
          <w:noProof/>
          <w:sz w:val="22"/>
          <w:szCs w:val="22"/>
          <w:lang w:val="en-US"/>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205740</wp:posOffset>
                </wp:positionV>
                <wp:extent cx="6108700" cy="571500"/>
                <wp:effectExtent l="0" t="0" r="25400" b="1905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8700" cy="571500"/>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B6AFA" w:rsidRPr="00FB6AFA" w:rsidRDefault="00CE4C46" w:rsidP="00FB6AFA">
                            <w:pPr>
                              <w:jc w:val="center"/>
                              <w:rPr>
                                <w:rFonts w:ascii="Avenir Next" w:hAnsi="Avenir Next"/>
                                <w:b/>
                                <w:color w:val="000000" w:themeColor="text1"/>
                              </w:rPr>
                            </w:pPr>
                            <w:r>
                              <w:rPr>
                                <w:rFonts w:ascii="Avenir Next" w:hAnsi="Avenir Next"/>
                                <w:b/>
                                <w:color w:val="000000" w:themeColor="text1"/>
                                <w:lang w:val="en-US"/>
                              </w:rPr>
                              <w:t>Press Release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roundrect id="Rounded Rectangle 9" o:spid="_x0000_s1026" style="position:absolute;left:0;text-align:left;margin-left:-5pt;margin-top:16.2pt;width:481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" fillcolor="#deeaf6 [664]" strokecolor="#1f3763 [1604]" strokeweight="1pt">
                <v:stroke joinstyle="miter"/>
                <v:path arrowok="t"/>
                <v:textbox>
                  <w:txbxContent>
                    <w:p w:rsidR="00FB6AFA" w:rsidRPr="00FB6AFA" w:rsidRDefault="00CE4C46" w:rsidP="00FB6AFA">
                      <w:pPr>
                        <w:jc w:val="center"/>
                        <w:rPr>
                          <w:rFonts w:ascii="Avenir Next" w:hAnsi="Avenir Next"/>
                          <w:b/>
                          <w:color w:val="000000" w:themeColor="text1"/>
                        </w:rPr>
                      </w:pPr>
                      <w:r>
                        <w:rPr>
                          <w:rFonts w:ascii="Avenir Next" w:hAnsi="Avenir Next"/>
                          <w:b/>
                          <w:color w:val="000000" w:themeColor="text1"/>
                          <w:lang w:val="en-US"/>
                        </w:rPr>
                        <w:t>Press Release</w:t>
                      </w:r>
                    </w:p>
                  </w:txbxContent>
                </v:textbox>
              </v:roundrect>
            </w:pict>
          </mc:Fallback>
        </mc:AlternateContent>
      </w:r>
    </w:p>
    <w:p w:rsidR="00FB6AFA" w:rsidRDefault="00FB6AFA" w:rsidP="00D67B13">
      <w:pPr>
        <w:jc w:val="both"/>
        <w:rPr>
          <w:rFonts w:ascii="Avenir Next" w:hAnsi="Avenir Next"/>
          <w:i/>
          <w:sz w:val="22"/>
          <w:szCs w:val="22"/>
        </w:rPr>
      </w:pPr>
    </w:p>
    <w:p w:rsidR="00FB6AFA" w:rsidRDefault="00FB6AFA" w:rsidP="00D67B13">
      <w:pPr>
        <w:jc w:val="both"/>
        <w:rPr>
          <w:rFonts w:ascii="Avenir Next" w:hAnsi="Avenir Next"/>
          <w:i/>
          <w:sz w:val="22"/>
          <w:szCs w:val="22"/>
        </w:rPr>
      </w:pPr>
    </w:p>
    <w:p w:rsidR="00FB6AFA" w:rsidRDefault="00FB6AFA" w:rsidP="00D67B13">
      <w:pPr>
        <w:jc w:val="both"/>
        <w:rPr>
          <w:rFonts w:ascii="Avenir Next" w:hAnsi="Avenir Next"/>
          <w:i/>
          <w:sz w:val="22"/>
          <w:szCs w:val="22"/>
        </w:rPr>
      </w:pPr>
    </w:p>
    <w:p w:rsidR="00FB6AFA" w:rsidRDefault="00FB6AFA" w:rsidP="00D67B13">
      <w:pPr>
        <w:jc w:val="both"/>
        <w:rPr>
          <w:rFonts w:ascii="Avenir Next" w:hAnsi="Avenir Next"/>
          <w:i/>
          <w:sz w:val="22"/>
          <w:szCs w:val="22"/>
        </w:rPr>
      </w:pPr>
    </w:p>
    <w:p w:rsidR="007F1118" w:rsidRDefault="00CE4C46" w:rsidP="00D67B13">
      <w:pPr>
        <w:jc w:val="both"/>
        <w:rPr>
          <w:rFonts w:ascii="Avenir Next" w:hAnsi="Avenir Next"/>
          <w:i/>
          <w:sz w:val="22"/>
          <w:szCs w:val="22"/>
        </w:rPr>
      </w:pPr>
      <w:r>
        <w:rPr>
          <w:rFonts w:ascii="Avenir Next" w:hAnsi="Avenir Next"/>
          <w:i/>
          <w:sz w:val="22"/>
          <w:szCs w:val="22"/>
        </w:rPr>
        <w:t>On 21 June EU Ambassadors will participate in a bicycle ride in Lisbon to highlight the work the EU is doing collectively to reach the goals of the Paris Agreement and tackle Climate Change. In this they are supported by the Portuguese State Secretary for Environment José Mendes (and the Mayor of Lisbon)</w:t>
      </w:r>
      <w:r w:rsidR="007F1118">
        <w:rPr>
          <w:rFonts w:ascii="Avenir Next" w:hAnsi="Avenir Next"/>
          <w:i/>
          <w:sz w:val="22"/>
          <w:szCs w:val="22"/>
        </w:rPr>
        <w:t>.</w:t>
      </w:r>
    </w:p>
    <w:p w:rsidR="005B18C5" w:rsidRPr="005B18C5" w:rsidRDefault="005B18C5" w:rsidP="00D67B13">
      <w:pPr>
        <w:jc w:val="both"/>
        <w:rPr>
          <w:rFonts w:ascii="Avenir Next" w:hAnsi="Avenir Next"/>
          <w:i/>
          <w:sz w:val="22"/>
          <w:szCs w:val="22"/>
        </w:rPr>
      </w:pPr>
    </w:p>
    <w:p w:rsidR="005B18C5" w:rsidRPr="005B18C5" w:rsidRDefault="007F1118" w:rsidP="005B18C5">
      <w:pPr>
        <w:jc w:val="both"/>
        <w:rPr>
          <w:rFonts w:ascii="Avenir Next" w:hAnsi="Avenir Next"/>
          <w:i/>
          <w:sz w:val="22"/>
          <w:szCs w:val="22"/>
        </w:rPr>
      </w:pPr>
      <w:r w:rsidRPr="005B18C5">
        <w:rPr>
          <w:rFonts w:ascii="Avenir Next" w:hAnsi="Avenir Next"/>
          <w:i/>
          <w:sz w:val="22"/>
          <w:szCs w:val="22"/>
        </w:rPr>
        <w:t xml:space="preserve">The policy approach of Portugal and the </w:t>
      </w:r>
      <w:r w:rsidR="005B18C5">
        <w:rPr>
          <w:rFonts w:ascii="Avenir Next" w:hAnsi="Avenir Next"/>
          <w:i/>
          <w:sz w:val="22"/>
          <w:szCs w:val="22"/>
        </w:rPr>
        <w:t>city</w:t>
      </w:r>
      <w:r w:rsidRPr="005B18C5">
        <w:rPr>
          <w:rFonts w:ascii="Avenir Next" w:hAnsi="Avenir Next"/>
          <w:i/>
          <w:sz w:val="22"/>
          <w:szCs w:val="22"/>
        </w:rPr>
        <w:t xml:space="preserve"> of Lisbon stands on the “avoid-shift-improve” paradigm, aiming at avoiding unnecessary trips, shifting to more sustainable transport modes and improving the efficiency of fuels, energy and vehicles.</w:t>
      </w:r>
      <w:r w:rsidR="00CE4C46" w:rsidRPr="005B18C5">
        <w:rPr>
          <w:rFonts w:ascii="Avenir Next" w:hAnsi="Avenir Next"/>
          <w:i/>
          <w:sz w:val="22"/>
          <w:szCs w:val="22"/>
        </w:rPr>
        <w:t xml:space="preserve"> </w:t>
      </w:r>
      <w:r w:rsidR="005B18C5" w:rsidRPr="005B18C5">
        <w:rPr>
          <w:i/>
          <w:sz w:val="22"/>
          <w:szCs w:val="22"/>
        </w:rPr>
        <w:t xml:space="preserve">Lisbon is implementing a sustainable model for mobility where efficient trams and buses will be complemented by sharing systems, including e-cars, e–scooters and GIRA </w:t>
      </w:r>
      <w:r w:rsidR="005B18C5" w:rsidRPr="005B18C5">
        <w:rPr>
          <w:b/>
          <w:i/>
          <w:sz w:val="22"/>
          <w:szCs w:val="22"/>
        </w:rPr>
        <w:t>Bicicletas de Lisboa</w:t>
      </w:r>
      <w:r w:rsidR="005B18C5" w:rsidRPr="005B18C5">
        <w:rPr>
          <w:i/>
          <w:sz w:val="22"/>
          <w:szCs w:val="22"/>
        </w:rPr>
        <w:t xml:space="preserve"> – a successful bicycle sharing system managed by the municipality parking and mobility company, which started on 21</w:t>
      </w:r>
      <w:r w:rsidR="005B18C5" w:rsidRPr="005B18C5">
        <w:rPr>
          <w:i/>
          <w:sz w:val="22"/>
          <w:szCs w:val="22"/>
          <w:vertAlign w:val="superscript"/>
        </w:rPr>
        <w:t>st</w:t>
      </w:r>
      <w:r w:rsidR="005B18C5" w:rsidRPr="005B18C5">
        <w:rPr>
          <w:i/>
          <w:sz w:val="22"/>
          <w:szCs w:val="22"/>
        </w:rPr>
        <w:t xml:space="preserve"> June 2017. In the future, the system which has 2/3 pedelec bikes, will reach more than 1410 bicycles and 140 docking stations. Along with more than 200km of cycle ways plan</w:t>
      </w:r>
      <w:r w:rsidR="004A13F2">
        <w:rPr>
          <w:i/>
          <w:sz w:val="22"/>
          <w:szCs w:val="22"/>
        </w:rPr>
        <w:t>n</w:t>
      </w:r>
      <w:r w:rsidR="005B18C5" w:rsidRPr="005B18C5">
        <w:rPr>
          <w:i/>
          <w:sz w:val="22"/>
          <w:szCs w:val="22"/>
        </w:rPr>
        <w:t xml:space="preserve">ed, and several renewed neighbourhoods and squares, it will boost bicycle share mode in Lisbon. </w:t>
      </w:r>
    </w:p>
    <w:p w:rsidR="00CE4C46" w:rsidRDefault="00CE4C46" w:rsidP="00FE2654">
      <w:pPr>
        <w:spacing w:line="276" w:lineRule="auto"/>
        <w:jc w:val="both"/>
        <w:rPr>
          <w:rFonts w:ascii="Avenir Next" w:hAnsi="Avenir Next"/>
          <w:i/>
          <w:sz w:val="22"/>
          <w:szCs w:val="22"/>
        </w:rPr>
      </w:pPr>
    </w:p>
    <w:p w:rsidR="00CE4C46" w:rsidRDefault="00232687" w:rsidP="00FE2654">
      <w:pPr>
        <w:spacing w:line="276" w:lineRule="auto"/>
        <w:jc w:val="both"/>
        <w:rPr>
          <w:rFonts w:ascii="Avenir Next" w:hAnsi="Avenir Next" w:cs="Arial"/>
          <w:sz w:val="22"/>
          <w:szCs w:val="22"/>
        </w:rPr>
      </w:pPr>
      <w:r w:rsidRPr="00CE4C46">
        <w:rPr>
          <w:rFonts w:ascii="Avenir Next" w:hAnsi="Avenir Next"/>
          <w:sz w:val="22"/>
          <w:szCs w:val="22"/>
        </w:rPr>
        <w:t xml:space="preserve">There is </w:t>
      </w:r>
      <w:r w:rsidR="00EA0358" w:rsidRPr="00CE4C46">
        <w:rPr>
          <w:rFonts w:ascii="Avenir Next" w:hAnsi="Avenir Next"/>
          <w:sz w:val="22"/>
          <w:szCs w:val="22"/>
        </w:rPr>
        <w:t xml:space="preserve">an </w:t>
      </w:r>
      <w:r w:rsidRPr="00CE4C46">
        <w:rPr>
          <w:rFonts w:ascii="Avenir Next" w:hAnsi="Avenir Next"/>
          <w:sz w:val="22"/>
          <w:szCs w:val="22"/>
        </w:rPr>
        <w:t xml:space="preserve">urgent need to reach the goals of the Paris Agreement through collective action, </w:t>
      </w:r>
      <w:r w:rsidR="00C859CD" w:rsidRPr="00CE4C46">
        <w:rPr>
          <w:rFonts w:ascii="Avenir Next" w:hAnsi="Avenir Next"/>
          <w:sz w:val="22"/>
          <w:szCs w:val="22"/>
        </w:rPr>
        <w:t>in order</w:t>
      </w:r>
      <w:r w:rsidRPr="00CE4C46">
        <w:rPr>
          <w:rFonts w:ascii="Avenir Next" w:hAnsi="Avenir Next"/>
          <w:sz w:val="22"/>
          <w:szCs w:val="22"/>
        </w:rPr>
        <w:t xml:space="preserve"> to avoid catastrophic consequences and protect life on the planet</w:t>
      </w:r>
      <w:r w:rsidR="00B42A7B" w:rsidRPr="00CE4C46">
        <w:rPr>
          <w:rFonts w:ascii="Avenir Next" w:hAnsi="Avenir Next" w:cs="Arial"/>
          <w:sz w:val="22"/>
          <w:szCs w:val="22"/>
        </w:rPr>
        <w:t xml:space="preserve">. </w:t>
      </w:r>
      <w:r w:rsidR="00804D74">
        <w:rPr>
          <w:rFonts w:ascii="Avenir Next" w:hAnsi="Avenir Next" w:cs="Arial"/>
          <w:sz w:val="22"/>
          <w:szCs w:val="22"/>
        </w:rPr>
        <w:t xml:space="preserve">The transition has multiple and tangible benefits, such as strengthening the economy, improving public and ecosystem health and preventing climate change impacts on human and state security. </w:t>
      </w:r>
      <w:r w:rsidR="008C2031" w:rsidRPr="00CE4C46">
        <w:rPr>
          <w:rFonts w:ascii="Avenir Next" w:hAnsi="Avenir Next" w:cs="Arial"/>
          <w:sz w:val="22"/>
          <w:szCs w:val="22"/>
        </w:rPr>
        <w:t xml:space="preserve">Climate </w:t>
      </w:r>
      <w:r w:rsidR="006B21FC" w:rsidRPr="00CE4C46">
        <w:rPr>
          <w:rFonts w:ascii="Avenir Next" w:hAnsi="Avenir Next" w:cs="Arial"/>
          <w:sz w:val="22"/>
          <w:szCs w:val="22"/>
        </w:rPr>
        <w:t xml:space="preserve">action </w:t>
      </w:r>
      <w:r w:rsidR="00AD4B49" w:rsidRPr="00CE4C46">
        <w:rPr>
          <w:rFonts w:ascii="Avenir Next" w:hAnsi="Avenir Next" w:cs="Arial"/>
          <w:sz w:val="22"/>
          <w:szCs w:val="22"/>
        </w:rPr>
        <w:t>i</w:t>
      </w:r>
      <w:r w:rsidR="008C2031" w:rsidRPr="00CE4C46">
        <w:rPr>
          <w:rFonts w:ascii="Avenir Next" w:hAnsi="Avenir Next" w:cs="Arial"/>
          <w:sz w:val="22"/>
          <w:szCs w:val="22"/>
        </w:rPr>
        <w:t>s part of a transition to a clean</w:t>
      </w:r>
      <w:r w:rsidR="002B6832" w:rsidRPr="00CE4C46">
        <w:rPr>
          <w:rFonts w:ascii="Avenir Next" w:hAnsi="Avenir Next" w:cs="Arial"/>
          <w:sz w:val="22"/>
          <w:szCs w:val="22"/>
        </w:rPr>
        <w:t>,</w:t>
      </w:r>
      <w:r w:rsidR="008C2031" w:rsidRPr="00CE4C46">
        <w:rPr>
          <w:rFonts w:ascii="Avenir Next" w:hAnsi="Avenir Next" w:cs="Arial"/>
          <w:sz w:val="22"/>
          <w:szCs w:val="22"/>
        </w:rPr>
        <w:t xml:space="preserve"> </w:t>
      </w:r>
      <w:r w:rsidR="002B6832" w:rsidRPr="00CE4C46">
        <w:rPr>
          <w:rFonts w:ascii="Avenir Next" w:hAnsi="Avenir Next" w:cs="Arial"/>
          <w:sz w:val="22"/>
          <w:szCs w:val="22"/>
        </w:rPr>
        <w:t>low</w:t>
      </w:r>
      <w:r w:rsidRPr="00CE4C46">
        <w:rPr>
          <w:rFonts w:ascii="Avenir Next" w:hAnsi="Avenir Next" w:cs="Arial"/>
          <w:sz w:val="22"/>
          <w:szCs w:val="22"/>
        </w:rPr>
        <w:t>-</w:t>
      </w:r>
      <w:r w:rsidR="002B6832" w:rsidRPr="00CE4C46">
        <w:rPr>
          <w:rFonts w:ascii="Avenir Next" w:hAnsi="Avenir Next" w:cs="Arial"/>
          <w:sz w:val="22"/>
          <w:szCs w:val="22"/>
        </w:rPr>
        <w:t xml:space="preserve">emissions </w:t>
      </w:r>
      <w:r w:rsidR="008C2031" w:rsidRPr="00CE4C46">
        <w:rPr>
          <w:rFonts w:ascii="Avenir Next" w:hAnsi="Avenir Next" w:cs="Arial"/>
          <w:sz w:val="22"/>
          <w:szCs w:val="22"/>
        </w:rPr>
        <w:t>economy and</w:t>
      </w:r>
      <w:r w:rsidR="00B475C1" w:rsidRPr="00CE4C46">
        <w:rPr>
          <w:rFonts w:ascii="Avenir Next" w:hAnsi="Avenir Next" w:cs="Arial"/>
          <w:sz w:val="22"/>
          <w:szCs w:val="22"/>
        </w:rPr>
        <w:t xml:space="preserve"> resilient</w:t>
      </w:r>
      <w:r w:rsidR="008C2031" w:rsidRPr="00CE4C46">
        <w:rPr>
          <w:rFonts w:ascii="Avenir Next" w:hAnsi="Avenir Next" w:cs="Arial"/>
          <w:sz w:val="22"/>
          <w:szCs w:val="22"/>
        </w:rPr>
        <w:t xml:space="preserve"> society.</w:t>
      </w:r>
      <w:r w:rsidR="008C2031" w:rsidRPr="00FB6AFA">
        <w:rPr>
          <w:rFonts w:ascii="Avenir Next" w:hAnsi="Avenir Next" w:cs="Arial"/>
          <w:sz w:val="22"/>
          <w:szCs w:val="22"/>
        </w:rPr>
        <w:t xml:space="preserve"> </w:t>
      </w:r>
      <w:r w:rsidR="001C2A4F" w:rsidRPr="00FB6AFA">
        <w:rPr>
          <w:rFonts w:ascii="Avenir Next" w:hAnsi="Avenir Next" w:cs="Arial"/>
          <w:sz w:val="22"/>
          <w:szCs w:val="22"/>
        </w:rPr>
        <w:t xml:space="preserve">The positive environmental, economic and social impacts of climate </w:t>
      </w:r>
      <w:r w:rsidR="00C11617" w:rsidRPr="00FB6AFA">
        <w:rPr>
          <w:rFonts w:ascii="Avenir Next" w:hAnsi="Avenir Next" w:cs="Arial"/>
          <w:sz w:val="22"/>
          <w:szCs w:val="22"/>
        </w:rPr>
        <w:t xml:space="preserve">action </w:t>
      </w:r>
      <w:r w:rsidR="001C2A4F" w:rsidRPr="00FB6AFA">
        <w:rPr>
          <w:rFonts w:ascii="Avenir Next" w:hAnsi="Avenir Next" w:cs="Arial"/>
          <w:sz w:val="22"/>
          <w:szCs w:val="22"/>
        </w:rPr>
        <w:t xml:space="preserve">are </w:t>
      </w:r>
      <w:r w:rsidR="001C2A4F" w:rsidRPr="00CE4C46">
        <w:rPr>
          <w:rFonts w:ascii="Avenir Next" w:hAnsi="Avenir Next" w:cs="Arial"/>
          <w:sz w:val="22"/>
          <w:szCs w:val="22"/>
        </w:rPr>
        <w:t xml:space="preserve">compelling reasons to </w:t>
      </w:r>
      <w:r w:rsidR="002B6832" w:rsidRPr="00CE4C46">
        <w:rPr>
          <w:rFonts w:ascii="Avenir Next" w:hAnsi="Avenir Next" w:cs="Arial"/>
          <w:sz w:val="22"/>
          <w:szCs w:val="22"/>
        </w:rPr>
        <w:t xml:space="preserve">fully </w:t>
      </w:r>
      <w:r w:rsidR="001C2A4F" w:rsidRPr="00CE4C46">
        <w:rPr>
          <w:rFonts w:ascii="Avenir Next" w:hAnsi="Avenir Next" w:cs="Arial"/>
          <w:sz w:val="22"/>
          <w:szCs w:val="22"/>
        </w:rPr>
        <w:t xml:space="preserve">implement the Paris Agreement. </w:t>
      </w:r>
    </w:p>
    <w:p w:rsidR="00CE4C46" w:rsidRDefault="00CE4C46" w:rsidP="00FE2654">
      <w:pPr>
        <w:spacing w:line="276" w:lineRule="auto"/>
        <w:jc w:val="both"/>
        <w:rPr>
          <w:rFonts w:ascii="Avenir Next" w:hAnsi="Avenir Next" w:cs="Arial"/>
          <w:sz w:val="22"/>
          <w:szCs w:val="22"/>
        </w:rPr>
      </w:pPr>
    </w:p>
    <w:p w:rsidR="008C2031" w:rsidRPr="00FB6AFA" w:rsidRDefault="008C2031" w:rsidP="00FE2654">
      <w:pPr>
        <w:spacing w:line="276" w:lineRule="auto"/>
        <w:jc w:val="both"/>
        <w:rPr>
          <w:rFonts w:ascii="Avenir Next" w:hAnsi="Avenir Next" w:cs="Arial"/>
          <w:sz w:val="22"/>
          <w:szCs w:val="22"/>
        </w:rPr>
      </w:pPr>
      <w:r w:rsidRPr="00CE4C46">
        <w:rPr>
          <w:rFonts w:ascii="Avenir Next" w:hAnsi="Avenir Next" w:cs="Arial"/>
          <w:sz w:val="22"/>
          <w:szCs w:val="22"/>
        </w:rPr>
        <w:t>The EU</w:t>
      </w:r>
      <w:r w:rsidR="00241F77" w:rsidRPr="00CE4C46">
        <w:rPr>
          <w:rFonts w:ascii="Avenir Next" w:hAnsi="Avenir Next" w:cs="Arial"/>
          <w:sz w:val="22"/>
          <w:szCs w:val="22"/>
        </w:rPr>
        <w:t xml:space="preserve"> is committed to ambitious action and</w:t>
      </w:r>
      <w:r w:rsidRPr="00CE4C46">
        <w:rPr>
          <w:rFonts w:ascii="Avenir Next" w:hAnsi="Avenir Next" w:cs="Arial"/>
          <w:sz w:val="22"/>
          <w:szCs w:val="22"/>
        </w:rPr>
        <w:t xml:space="preserve"> leads by example</w:t>
      </w:r>
      <w:r w:rsidR="009959C7" w:rsidRPr="00CE4C46">
        <w:rPr>
          <w:rFonts w:ascii="Avenir Next" w:hAnsi="Avenir Next" w:cs="Arial"/>
          <w:sz w:val="22"/>
          <w:szCs w:val="22"/>
        </w:rPr>
        <w:t>: w</w:t>
      </w:r>
      <w:r w:rsidR="00A373FA" w:rsidRPr="00CE4C46">
        <w:rPr>
          <w:rFonts w:ascii="Avenir Next" w:hAnsi="Avenir Next" w:cs="Arial"/>
          <w:sz w:val="22"/>
          <w:szCs w:val="22"/>
        </w:rPr>
        <w:t xml:space="preserve">e have </w:t>
      </w:r>
      <w:r w:rsidR="009959C7" w:rsidRPr="00CE4C46">
        <w:rPr>
          <w:rFonts w:ascii="Avenir Next" w:hAnsi="Avenir Next" w:cs="Arial"/>
          <w:sz w:val="22"/>
          <w:szCs w:val="22"/>
        </w:rPr>
        <w:t>a strong track record, both in domestic</w:t>
      </w:r>
      <w:r w:rsidR="00A373FA" w:rsidRPr="00CE4C46">
        <w:rPr>
          <w:rFonts w:ascii="Avenir Next" w:hAnsi="Avenir Next" w:cs="Arial"/>
          <w:sz w:val="22"/>
          <w:szCs w:val="22"/>
        </w:rPr>
        <w:t xml:space="preserve"> emission</w:t>
      </w:r>
      <w:r w:rsidR="009959C7" w:rsidRPr="00CE4C46">
        <w:rPr>
          <w:rFonts w:ascii="Avenir Next" w:hAnsi="Avenir Next" w:cs="Arial"/>
          <w:sz w:val="22"/>
          <w:szCs w:val="22"/>
        </w:rPr>
        <w:t>s</w:t>
      </w:r>
      <w:r w:rsidR="00A373FA" w:rsidRPr="00CE4C46">
        <w:rPr>
          <w:rFonts w:ascii="Avenir Next" w:hAnsi="Avenir Next" w:cs="Arial"/>
          <w:sz w:val="22"/>
          <w:szCs w:val="22"/>
        </w:rPr>
        <w:t xml:space="preserve"> reductions and </w:t>
      </w:r>
      <w:r w:rsidR="009959C7" w:rsidRPr="00CE4C46">
        <w:rPr>
          <w:rFonts w:ascii="Avenir Next" w:hAnsi="Avenir Next" w:cs="Arial"/>
          <w:sz w:val="22"/>
          <w:szCs w:val="22"/>
        </w:rPr>
        <w:t xml:space="preserve">support to </w:t>
      </w:r>
      <w:r w:rsidR="00A373FA" w:rsidRPr="00CE4C46">
        <w:rPr>
          <w:rFonts w:ascii="Avenir Next" w:hAnsi="Avenir Next" w:cs="Arial"/>
          <w:sz w:val="22"/>
          <w:szCs w:val="22"/>
        </w:rPr>
        <w:t xml:space="preserve">international </w:t>
      </w:r>
      <w:r w:rsidR="009959C7" w:rsidRPr="00CE4C46">
        <w:rPr>
          <w:rFonts w:ascii="Avenir Next" w:hAnsi="Avenir Next" w:cs="Arial"/>
          <w:sz w:val="22"/>
          <w:szCs w:val="22"/>
        </w:rPr>
        <w:t>partners</w:t>
      </w:r>
      <w:r w:rsidR="00C11617" w:rsidRPr="00CE4C46">
        <w:rPr>
          <w:rFonts w:ascii="Avenir Next" w:hAnsi="Avenir Next" w:cs="Arial"/>
          <w:sz w:val="22"/>
          <w:szCs w:val="22"/>
        </w:rPr>
        <w:t xml:space="preserve">. The EU has </w:t>
      </w:r>
      <w:r w:rsidR="00A373FA" w:rsidRPr="00CE4C46">
        <w:rPr>
          <w:rFonts w:ascii="Avenir Next" w:hAnsi="Avenir Next" w:cs="Arial"/>
          <w:sz w:val="22"/>
          <w:szCs w:val="22"/>
        </w:rPr>
        <w:t xml:space="preserve">played a </w:t>
      </w:r>
      <w:r w:rsidR="002B6832" w:rsidRPr="00CE4C46">
        <w:rPr>
          <w:rFonts w:ascii="Avenir Next" w:hAnsi="Avenir Next" w:cs="Arial"/>
          <w:sz w:val="22"/>
          <w:szCs w:val="22"/>
        </w:rPr>
        <w:t xml:space="preserve">consistent </w:t>
      </w:r>
      <w:r w:rsidR="00A373FA" w:rsidRPr="00CE4C46">
        <w:rPr>
          <w:rFonts w:ascii="Avenir Next" w:hAnsi="Avenir Next" w:cs="Arial"/>
          <w:sz w:val="22"/>
          <w:szCs w:val="22"/>
        </w:rPr>
        <w:t>role in the construction and implementation of the global climate policy regime</w:t>
      </w:r>
      <w:r w:rsidR="00FA28C8" w:rsidRPr="00CE4C46">
        <w:rPr>
          <w:rFonts w:ascii="Avenir Next" w:hAnsi="Avenir Next" w:cs="Arial"/>
          <w:sz w:val="22"/>
          <w:szCs w:val="22"/>
        </w:rPr>
        <w:t xml:space="preserve"> over the past three decades.</w:t>
      </w:r>
      <w:r w:rsidR="00C11617" w:rsidRPr="00CE4C46">
        <w:rPr>
          <w:rFonts w:ascii="Avenir Next" w:hAnsi="Avenir Next" w:cs="Arial"/>
          <w:sz w:val="22"/>
          <w:szCs w:val="22"/>
        </w:rPr>
        <w:t xml:space="preserve"> </w:t>
      </w:r>
    </w:p>
    <w:p w:rsidR="00CE4C46" w:rsidRDefault="00CE4C46" w:rsidP="00FE2654">
      <w:pPr>
        <w:spacing w:line="276" w:lineRule="auto"/>
        <w:jc w:val="both"/>
        <w:rPr>
          <w:rFonts w:ascii="Avenir Next" w:hAnsi="Avenir Next" w:cs="Arial"/>
          <w:b/>
          <w:bCs/>
          <w:color w:val="000000"/>
          <w:sz w:val="22"/>
          <w:szCs w:val="22"/>
        </w:rPr>
      </w:pPr>
    </w:p>
    <w:p w:rsidR="00CE4C46" w:rsidRDefault="00243D01" w:rsidP="00FE2654">
      <w:pPr>
        <w:spacing w:line="276" w:lineRule="auto"/>
        <w:jc w:val="both"/>
        <w:rPr>
          <w:rFonts w:ascii="Avenir Next" w:hAnsi="Avenir Next" w:cs="Arial"/>
          <w:b/>
          <w:bCs/>
          <w:color w:val="000000"/>
          <w:sz w:val="22"/>
          <w:szCs w:val="22"/>
        </w:rPr>
      </w:pPr>
      <w:r w:rsidRPr="00FB6AFA">
        <w:rPr>
          <w:rFonts w:ascii="Avenir Next" w:hAnsi="Avenir Next" w:cs="Arial"/>
          <w:b/>
          <w:bCs/>
          <w:color w:val="000000"/>
          <w:sz w:val="22"/>
          <w:szCs w:val="22"/>
        </w:rPr>
        <w:t xml:space="preserve">The </w:t>
      </w:r>
      <w:r w:rsidR="00FA28C8" w:rsidRPr="00FB6AFA">
        <w:rPr>
          <w:rFonts w:ascii="Avenir Next" w:hAnsi="Avenir Next" w:cs="Arial"/>
          <w:b/>
          <w:bCs/>
          <w:color w:val="000000"/>
          <w:sz w:val="22"/>
          <w:szCs w:val="22"/>
        </w:rPr>
        <w:t>EU</w:t>
      </w:r>
      <w:r w:rsidRPr="00FB6AFA">
        <w:rPr>
          <w:rFonts w:ascii="Avenir Next" w:hAnsi="Avenir Next" w:cs="Arial"/>
          <w:b/>
          <w:bCs/>
          <w:color w:val="000000"/>
          <w:sz w:val="22"/>
          <w:szCs w:val="22"/>
        </w:rPr>
        <w:t xml:space="preserve"> </w:t>
      </w:r>
      <w:r w:rsidR="00D25C4C">
        <w:rPr>
          <w:rFonts w:ascii="Avenir Next" w:hAnsi="Avenir Next" w:cs="Arial"/>
          <w:b/>
          <w:bCs/>
          <w:color w:val="000000"/>
          <w:sz w:val="22"/>
          <w:szCs w:val="22"/>
        </w:rPr>
        <w:t>is committed to climate action and has a strong track record</w:t>
      </w:r>
      <w:r w:rsidR="00A56856" w:rsidRPr="00FB6AFA">
        <w:rPr>
          <w:rFonts w:ascii="Avenir Next" w:hAnsi="Avenir Next" w:cs="Arial"/>
          <w:b/>
          <w:bCs/>
          <w:color w:val="000000"/>
          <w:sz w:val="22"/>
          <w:szCs w:val="22"/>
        </w:rPr>
        <w:t xml:space="preserve"> </w:t>
      </w:r>
      <w:r w:rsidR="001E39FC" w:rsidRPr="00FB6AFA">
        <w:rPr>
          <w:rFonts w:ascii="Avenir Next" w:hAnsi="Avenir Next" w:cs="Arial"/>
          <w:b/>
          <w:bCs/>
          <w:color w:val="000000"/>
          <w:sz w:val="22"/>
          <w:szCs w:val="22"/>
        </w:rPr>
        <w:t>on domestic emissions reductions and support to others.</w:t>
      </w:r>
      <w:r w:rsidR="00886F03" w:rsidRPr="00FB6AFA">
        <w:rPr>
          <w:rFonts w:ascii="Avenir Next" w:hAnsi="Avenir Next" w:cs="Arial"/>
          <w:b/>
          <w:bCs/>
          <w:color w:val="000000"/>
          <w:sz w:val="22"/>
          <w:szCs w:val="22"/>
        </w:rPr>
        <w:t xml:space="preserve"> </w:t>
      </w:r>
    </w:p>
    <w:p w:rsidR="00CE4C46" w:rsidRPr="00CE4C46" w:rsidRDefault="001E39FC" w:rsidP="00CE4C46">
      <w:pPr>
        <w:pStyle w:val="ListParagraph"/>
        <w:numPr>
          <w:ilvl w:val="0"/>
          <w:numId w:val="10"/>
        </w:numPr>
        <w:spacing w:line="276" w:lineRule="auto"/>
        <w:jc w:val="both"/>
        <w:rPr>
          <w:rFonts w:ascii="Avenir Next" w:hAnsi="Avenir Next" w:cs="Arial"/>
          <w:b/>
          <w:bCs/>
          <w:color w:val="000000"/>
          <w:sz w:val="22"/>
          <w:szCs w:val="22"/>
        </w:rPr>
      </w:pPr>
      <w:r w:rsidRPr="00CE4C46">
        <w:rPr>
          <w:rFonts w:ascii="Avenir Next" w:hAnsi="Avenir Next" w:cs="Arial"/>
          <w:sz w:val="22"/>
          <w:szCs w:val="22"/>
        </w:rPr>
        <w:t>The EU is on track to exceed its 2020 target: in 2016, emissions were 23% below 1990 levels. </w:t>
      </w:r>
    </w:p>
    <w:p w:rsidR="001E39FC" w:rsidRPr="00CE4C46" w:rsidRDefault="001E39FC" w:rsidP="00CE4C46">
      <w:pPr>
        <w:pStyle w:val="ListParagraph"/>
        <w:numPr>
          <w:ilvl w:val="0"/>
          <w:numId w:val="10"/>
        </w:numPr>
        <w:spacing w:line="276" w:lineRule="auto"/>
        <w:jc w:val="both"/>
        <w:rPr>
          <w:rFonts w:ascii="Avenir Next" w:hAnsi="Avenir Next" w:cs="Arial"/>
          <w:b/>
          <w:bCs/>
          <w:color w:val="000000"/>
          <w:sz w:val="22"/>
          <w:szCs w:val="22"/>
        </w:rPr>
      </w:pPr>
      <w:r w:rsidRPr="00CE4C46">
        <w:rPr>
          <w:rFonts w:ascii="Avenir Next" w:hAnsi="Avenir Next" w:cs="Arial"/>
          <w:sz w:val="22"/>
          <w:szCs w:val="22"/>
        </w:rPr>
        <w:t>The EU</w:t>
      </w:r>
      <w:r w:rsidR="007203EB" w:rsidRPr="00CE4C46">
        <w:rPr>
          <w:rFonts w:ascii="Avenir Next" w:hAnsi="Avenir Next" w:cs="Arial"/>
          <w:sz w:val="22"/>
          <w:szCs w:val="22"/>
        </w:rPr>
        <w:t>,</w:t>
      </w:r>
      <w:r w:rsidRPr="00CE4C46">
        <w:rPr>
          <w:rFonts w:ascii="Avenir Next" w:hAnsi="Avenir Next" w:cs="Arial"/>
          <w:sz w:val="22"/>
          <w:szCs w:val="22"/>
        </w:rPr>
        <w:t xml:space="preserve"> its Member States </w:t>
      </w:r>
      <w:r w:rsidR="007203EB" w:rsidRPr="00CE4C46">
        <w:rPr>
          <w:rFonts w:ascii="Avenir Next" w:hAnsi="Avenir Next" w:cs="Arial"/>
          <w:sz w:val="22"/>
          <w:szCs w:val="22"/>
        </w:rPr>
        <w:t xml:space="preserve">and the European Investment Bank </w:t>
      </w:r>
      <w:r w:rsidRPr="00CE4C46">
        <w:rPr>
          <w:rFonts w:ascii="Avenir Next" w:hAnsi="Avenir Next" w:cs="Arial"/>
          <w:sz w:val="22"/>
          <w:szCs w:val="22"/>
        </w:rPr>
        <w:t>continue to be the largest provider of public climate finance, contributing €20.2 billion to developing countries in 2016</w:t>
      </w:r>
      <w:r w:rsidR="007A3C11" w:rsidRPr="00CE4C46">
        <w:rPr>
          <w:rFonts w:ascii="Avenir Next" w:hAnsi="Avenir Next" w:cs="Arial"/>
          <w:sz w:val="22"/>
          <w:szCs w:val="22"/>
        </w:rPr>
        <w:t xml:space="preserve">. This </w:t>
      </w:r>
      <w:r w:rsidRPr="00CE4C46">
        <w:rPr>
          <w:rFonts w:ascii="Avenir Next" w:hAnsi="Avenir Next" w:cs="Arial"/>
          <w:sz w:val="22"/>
          <w:szCs w:val="22"/>
        </w:rPr>
        <w:t>represent</w:t>
      </w:r>
      <w:r w:rsidR="007A3C11" w:rsidRPr="00CE4C46">
        <w:rPr>
          <w:rFonts w:ascii="Avenir Next" w:hAnsi="Avenir Next" w:cs="Arial"/>
          <w:sz w:val="22"/>
          <w:szCs w:val="22"/>
        </w:rPr>
        <w:t>s</w:t>
      </w:r>
      <w:r w:rsidRPr="00CE4C46">
        <w:rPr>
          <w:rFonts w:ascii="Avenir Next" w:hAnsi="Avenir Next" w:cs="Arial"/>
          <w:sz w:val="22"/>
          <w:szCs w:val="22"/>
        </w:rPr>
        <w:t xml:space="preserve"> </w:t>
      </w:r>
      <w:r w:rsidR="007A3C11" w:rsidRPr="00CE4C46">
        <w:rPr>
          <w:rFonts w:ascii="Avenir Next" w:hAnsi="Avenir Next" w:cs="Arial"/>
          <w:sz w:val="22"/>
          <w:szCs w:val="22"/>
        </w:rPr>
        <w:t xml:space="preserve">roughly half </w:t>
      </w:r>
      <w:r w:rsidRPr="00CE4C46">
        <w:rPr>
          <w:rFonts w:ascii="Avenir Next" w:hAnsi="Avenir Next" w:cs="Arial"/>
          <w:sz w:val="22"/>
          <w:szCs w:val="22"/>
        </w:rPr>
        <w:t>of global public climate finance.</w:t>
      </w:r>
    </w:p>
    <w:p w:rsidR="001E39FC" w:rsidRPr="00FB6AFA" w:rsidRDefault="001E39FC" w:rsidP="00FE2654">
      <w:pPr>
        <w:pStyle w:val="ListParagraph"/>
        <w:spacing w:line="276" w:lineRule="auto"/>
        <w:jc w:val="both"/>
        <w:rPr>
          <w:rFonts w:ascii="Avenir Next" w:hAnsi="Avenir Next" w:cs="Arial"/>
          <w:sz w:val="22"/>
          <w:szCs w:val="22"/>
        </w:rPr>
      </w:pPr>
    </w:p>
    <w:p w:rsidR="001E39FC" w:rsidRPr="00FB6AFA" w:rsidRDefault="001E39FC" w:rsidP="00FE2654">
      <w:pPr>
        <w:spacing w:line="276" w:lineRule="auto"/>
        <w:jc w:val="both"/>
        <w:rPr>
          <w:rFonts w:ascii="Avenir Next" w:hAnsi="Avenir Next" w:cs="Arial"/>
          <w:b/>
          <w:bCs/>
          <w:color w:val="000000"/>
          <w:sz w:val="22"/>
          <w:szCs w:val="22"/>
        </w:rPr>
      </w:pPr>
      <w:r w:rsidRPr="00FB6AFA">
        <w:rPr>
          <w:rFonts w:ascii="Avenir Next" w:hAnsi="Avenir Next" w:cs="Arial"/>
          <w:b/>
          <w:bCs/>
          <w:color w:val="000000"/>
          <w:sz w:val="22"/>
          <w:szCs w:val="22"/>
        </w:rPr>
        <w:t xml:space="preserve">We will continue </w:t>
      </w:r>
      <w:r w:rsidR="00545559">
        <w:rPr>
          <w:rFonts w:ascii="Avenir Next" w:hAnsi="Avenir Next" w:cs="Arial"/>
          <w:b/>
          <w:bCs/>
          <w:color w:val="000000"/>
          <w:sz w:val="22"/>
          <w:szCs w:val="22"/>
        </w:rPr>
        <w:t>to work together with all partners to enhance climate action in the EU and globally</w:t>
      </w:r>
      <w:r w:rsidRPr="00FB6AFA">
        <w:rPr>
          <w:rFonts w:ascii="Avenir Next" w:hAnsi="Avenir Next" w:cs="Arial"/>
          <w:b/>
          <w:bCs/>
          <w:color w:val="000000"/>
          <w:sz w:val="22"/>
          <w:szCs w:val="22"/>
        </w:rPr>
        <w:t>.</w:t>
      </w:r>
    </w:p>
    <w:p w:rsidR="00CE4C46" w:rsidRDefault="00545559" w:rsidP="00CE4C46">
      <w:pPr>
        <w:pStyle w:val="ListParagraph"/>
        <w:numPr>
          <w:ilvl w:val="0"/>
          <w:numId w:val="10"/>
        </w:numPr>
        <w:spacing w:line="276" w:lineRule="auto"/>
        <w:jc w:val="both"/>
        <w:rPr>
          <w:rFonts w:ascii="Avenir Next" w:hAnsi="Avenir Next" w:cs="Arial"/>
          <w:sz w:val="22"/>
          <w:szCs w:val="22"/>
        </w:rPr>
      </w:pPr>
      <w:r w:rsidRPr="00CE4C46">
        <w:rPr>
          <w:rFonts w:ascii="Avenir Next" w:hAnsi="Avenir Next" w:cs="Arial"/>
          <w:sz w:val="22"/>
          <w:szCs w:val="22"/>
        </w:rPr>
        <w:t>To effectively tackle the climate challenge, we have to work together. That is why t</w:t>
      </w:r>
      <w:r w:rsidR="001E39FC" w:rsidRPr="00CE4C46">
        <w:rPr>
          <w:rFonts w:ascii="Avenir Next" w:hAnsi="Avenir Next" w:cs="Arial"/>
          <w:sz w:val="22"/>
          <w:szCs w:val="22"/>
        </w:rPr>
        <w:t>he EU has already put in place a cross-sectoral legally binding framework to deliver on our commitment to cut emissions by at least 40% by 2030 compared to 1990</w:t>
      </w:r>
      <w:r w:rsidR="00CE4C46">
        <w:rPr>
          <w:rFonts w:ascii="Avenir Next" w:hAnsi="Avenir Next" w:cs="Arial"/>
          <w:sz w:val="22"/>
          <w:szCs w:val="22"/>
        </w:rPr>
        <w:t>.</w:t>
      </w:r>
    </w:p>
    <w:p w:rsidR="001E39FC" w:rsidRPr="00CE4C46" w:rsidRDefault="001E39FC" w:rsidP="00CE4C46">
      <w:pPr>
        <w:pStyle w:val="ListParagraph"/>
        <w:numPr>
          <w:ilvl w:val="0"/>
          <w:numId w:val="10"/>
        </w:numPr>
        <w:spacing w:line="276" w:lineRule="auto"/>
        <w:jc w:val="both"/>
        <w:rPr>
          <w:rFonts w:ascii="Avenir Next" w:hAnsi="Avenir Next" w:cs="Arial"/>
          <w:sz w:val="22"/>
          <w:szCs w:val="22"/>
        </w:rPr>
      </w:pPr>
      <w:r w:rsidRPr="00CE4C46">
        <w:rPr>
          <w:rFonts w:ascii="Avenir Next" w:hAnsi="Avenir Next" w:cs="Arial"/>
          <w:sz w:val="22"/>
          <w:szCs w:val="22"/>
        </w:rPr>
        <w:lastRenderedPageBreak/>
        <w:t xml:space="preserve">Simultaneously, the EU is stepping up </w:t>
      </w:r>
      <w:r w:rsidR="00241F77" w:rsidRPr="00CE4C46">
        <w:rPr>
          <w:rFonts w:ascii="Avenir Next" w:hAnsi="Avenir Next" w:cs="Arial"/>
          <w:sz w:val="22"/>
          <w:szCs w:val="22"/>
        </w:rPr>
        <w:t xml:space="preserve">international cooperation and support to partners outside the EU through </w:t>
      </w:r>
      <w:r w:rsidRPr="00CE4C46">
        <w:rPr>
          <w:rFonts w:ascii="Avenir Next" w:hAnsi="Avenir Next" w:cs="Arial"/>
          <w:sz w:val="22"/>
          <w:szCs w:val="22"/>
        </w:rPr>
        <w:t>joint diplomatic engagement on climate action</w:t>
      </w:r>
      <w:r w:rsidR="00CE4C46">
        <w:rPr>
          <w:rFonts w:ascii="Avenir Next" w:hAnsi="Avenir Next" w:cs="Arial"/>
          <w:sz w:val="22"/>
          <w:szCs w:val="22"/>
        </w:rPr>
        <w:t>.</w:t>
      </w:r>
    </w:p>
    <w:p w:rsidR="00431373" w:rsidRPr="00FB6AFA" w:rsidRDefault="00431373" w:rsidP="00FE2654">
      <w:pPr>
        <w:spacing w:line="276" w:lineRule="auto"/>
        <w:jc w:val="both"/>
        <w:rPr>
          <w:rFonts w:ascii="Avenir Next" w:hAnsi="Avenir Next" w:cs="Arial"/>
          <w:sz w:val="22"/>
          <w:szCs w:val="22"/>
        </w:rPr>
      </w:pPr>
    </w:p>
    <w:p w:rsidR="001E39FC" w:rsidRPr="00FB6AFA" w:rsidRDefault="001E39FC" w:rsidP="00FE2654">
      <w:pPr>
        <w:spacing w:line="276" w:lineRule="auto"/>
        <w:jc w:val="both"/>
        <w:rPr>
          <w:rFonts w:ascii="Avenir Next" w:hAnsi="Avenir Next" w:cs="Arial"/>
          <w:b/>
          <w:bCs/>
          <w:color w:val="000000"/>
          <w:sz w:val="22"/>
          <w:szCs w:val="22"/>
        </w:rPr>
      </w:pPr>
      <w:r w:rsidRPr="00FB6AFA">
        <w:rPr>
          <w:rFonts w:ascii="Avenir Next" w:hAnsi="Avenir Next" w:cs="Arial"/>
          <w:b/>
          <w:bCs/>
          <w:color w:val="000000"/>
          <w:sz w:val="22"/>
          <w:szCs w:val="22"/>
        </w:rPr>
        <w:t xml:space="preserve">The </w:t>
      </w:r>
      <w:r w:rsidR="00D54CA1" w:rsidRPr="00FB6AFA">
        <w:rPr>
          <w:rFonts w:ascii="Avenir Next" w:hAnsi="Avenir Next" w:cs="Arial"/>
          <w:b/>
          <w:bCs/>
          <w:color w:val="000000"/>
          <w:sz w:val="22"/>
          <w:szCs w:val="22"/>
        </w:rPr>
        <w:t>g</w:t>
      </w:r>
      <w:r w:rsidRPr="00FB6AFA">
        <w:rPr>
          <w:rFonts w:ascii="Avenir Next" w:hAnsi="Avenir Next" w:cs="Arial"/>
          <w:b/>
          <w:bCs/>
          <w:color w:val="000000"/>
          <w:sz w:val="22"/>
          <w:szCs w:val="22"/>
        </w:rPr>
        <w:t>lobal low-emission transition</w:t>
      </w:r>
      <w:r w:rsidR="009D73EA" w:rsidRPr="00FB6AFA">
        <w:rPr>
          <w:rFonts w:ascii="Avenir Next" w:hAnsi="Avenir Next" w:cs="Arial"/>
          <w:b/>
          <w:bCs/>
          <w:color w:val="000000"/>
          <w:sz w:val="22"/>
          <w:szCs w:val="22"/>
        </w:rPr>
        <w:t xml:space="preserve"> </w:t>
      </w:r>
      <w:r w:rsidRPr="00FB6AFA">
        <w:rPr>
          <w:rFonts w:ascii="Avenir Next" w:hAnsi="Avenir Next" w:cs="Arial"/>
          <w:b/>
          <w:bCs/>
          <w:color w:val="000000"/>
          <w:sz w:val="22"/>
          <w:szCs w:val="22"/>
        </w:rPr>
        <w:t>is a win-win solution: good for the planet, good for people</w:t>
      </w:r>
      <w:r w:rsidR="00D54CA1" w:rsidRPr="00FB6AFA">
        <w:rPr>
          <w:rFonts w:ascii="Avenir Next" w:hAnsi="Avenir Next" w:cs="Arial"/>
          <w:b/>
          <w:bCs/>
          <w:color w:val="000000"/>
          <w:sz w:val="22"/>
          <w:szCs w:val="22"/>
        </w:rPr>
        <w:t>.</w:t>
      </w:r>
    </w:p>
    <w:p w:rsidR="009802F1" w:rsidRPr="009802F1" w:rsidRDefault="00BD3674" w:rsidP="009802F1">
      <w:pPr>
        <w:pStyle w:val="ListParagraph"/>
        <w:numPr>
          <w:ilvl w:val="0"/>
          <w:numId w:val="10"/>
        </w:numPr>
        <w:spacing w:line="276" w:lineRule="auto"/>
        <w:jc w:val="both"/>
        <w:rPr>
          <w:rFonts w:ascii="Avenir Next" w:hAnsi="Avenir Next" w:cs="Arial"/>
          <w:sz w:val="22"/>
          <w:szCs w:val="22"/>
        </w:rPr>
      </w:pPr>
      <w:r w:rsidRPr="009802F1">
        <w:rPr>
          <w:rFonts w:ascii="Avenir Next" w:hAnsi="Avenir Next" w:cs="Arial"/>
          <w:sz w:val="22"/>
          <w:szCs w:val="22"/>
        </w:rPr>
        <w:t>Our experience shows that ambitious climate policies can go hand-in-hand with economic growth, job creation, better energy and food security, and improved public and ecosystem health.</w:t>
      </w:r>
      <w:r w:rsidRPr="009802F1">
        <w:rPr>
          <w:rFonts w:ascii="Arial" w:hAnsi="Arial" w:cs="Arial"/>
          <w:sz w:val="22"/>
          <w:szCs w:val="22"/>
        </w:rPr>
        <w:t> </w:t>
      </w:r>
      <w:r w:rsidRPr="009802F1">
        <w:rPr>
          <w:rFonts w:ascii="Avenir Next" w:hAnsi="Avenir Next" w:cs="Arial"/>
          <w:sz w:val="22"/>
          <w:szCs w:val="22"/>
        </w:rPr>
        <w:t>Our emission reductions of 23% and GDP growth of 53% between 1990 and 2016 demonstrate</w:t>
      </w:r>
      <w:r w:rsidR="00D77665" w:rsidRPr="009802F1">
        <w:rPr>
          <w:rFonts w:ascii="Avenir Next" w:hAnsi="Avenir Next" w:cs="Arial"/>
          <w:sz w:val="22"/>
          <w:szCs w:val="22"/>
        </w:rPr>
        <w:t xml:space="preserve"> </w:t>
      </w:r>
      <w:r w:rsidR="00D54CA1" w:rsidRPr="009802F1">
        <w:rPr>
          <w:rFonts w:ascii="Avenir Next" w:hAnsi="Avenir Next" w:cs="Arial"/>
          <w:sz w:val="22"/>
          <w:szCs w:val="22"/>
        </w:rPr>
        <w:t>it is possible to achieve an</w:t>
      </w:r>
      <w:r w:rsidRPr="009802F1">
        <w:rPr>
          <w:rFonts w:ascii="Avenir Next" w:hAnsi="Avenir Next" w:cs="Arial"/>
          <w:sz w:val="22"/>
          <w:szCs w:val="22"/>
        </w:rPr>
        <w:t xml:space="preserve"> absolute decoupling of emissions and economic growth.</w:t>
      </w:r>
    </w:p>
    <w:p w:rsidR="00BD3674" w:rsidRPr="009802F1" w:rsidRDefault="009D73EA" w:rsidP="009802F1">
      <w:pPr>
        <w:pStyle w:val="ListParagraph"/>
        <w:numPr>
          <w:ilvl w:val="0"/>
          <w:numId w:val="10"/>
        </w:numPr>
        <w:spacing w:line="276" w:lineRule="auto"/>
        <w:jc w:val="both"/>
        <w:rPr>
          <w:rFonts w:ascii="Avenir Next" w:hAnsi="Avenir Next" w:cs="Arial"/>
          <w:sz w:val="22"/>
          <w:szCs w:val="22"/>
        </w:rPr>
      </w:pPr>
      <w:r w:rsidRPr="009802F1">
        <w:rPr>
          <w:rFonts w:ascii="Avenir Next" w:hAnsi="Avenir Next"/>
          <w:sz w:val="22"/>
          <w:szCs w:val="22"/>
        </w:rPr>
        <w:t xml:space="preserve">Time is of the essence: the earlier we act, the lower the costs and the higher the benefits. By contrast, insufficient action would lead to </w:t>
      </w:r>
      <w:r w:rsidR="00550765" w:rsidRPr="009802F1">
        <w:rPr>
          <w:rFonts w:ascii="Avenir Next" w:hAnsi="Avenir Next"/>
          <w:sz w:val="22"/>
          <w:szCs w:val="22"/>
        </w:rPr>
        <w:t xml:space="preserve">unnecessarily high </w:t>
      </w:r>
      <w:r w:rsidRPr="009802F1">
        <w:rPr>
          <w:rFonts w:ascii="Avenir Next" w:hAnsi="Avenir Next"/>
          <w:sz w:val="22"/>
          <w:szCs w:val="22"/>
        </w:rPr>
        <w:t>costs for people and the planet.</w:t>
      </w:r>
    </w:p>
    <w:p w:rsidR="00881CAB" w:rsidRPr="00FB6AFA" w:rsidRDefault="00881CAB" w:rsidP="00FE2654">
      <w:pPr>
        <w:pStyle w:val="ListParagraph"/>
        <w:spacing w:line="276" w:lineRule="auto"/>
        <w:jc w:val="both"/>
        <w:rPr>
          <w:rFonts w:ascii="Avenir Next" w:hAnsi="Avenir Next" w:cs="Arial"/>
          <w:b/>
          <w:sz w:val="22"/>
          <w:szCs w:val="22"/>
        </w:rPr>
      </w:pPr>
    </w:p>
    <w:p w:rsidR="009802F1" w:rsidRPr="009802F1" w:rsidRDefault="009802F1" w:rsidP="009802F1">
      <w:pPr>
        <w:rPr>
          <w:rFonts w:ascii="Avenir Next" w:hAnsi="Avenir Next"/>
          <w:sz w:val="22"/>
          <w:szCs w:val="22"/>
        </w:rPr>
      </w:pPr>
    </w:p>
    <w:sectPr w:rsidR="009802F1" w:rsidRPr="009802F1" w:rsidSect="00FB6AFA">
      <w:footerReference w:type="default" r:id="rId13"/>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7D5" w:rsidRDefault="003E77D5" w:rsidP="00EC26DD">
      <w:r>
        <w:separator/>
      </w:r>
    </w:p>
  </w:endnote>
  <w:endnote w:type="continuationSeparator" w:id="0">
    <w:p w:rsidR="003E77D5" w:rsidRDefault="003E77D5" w:rsidP="00EC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Next">
    <w:altName w:val="Corbel"/>
    <w:charset w:val="00"/>
    <w:family w:val="swiss"/>
    <w:pitch w:val="variable"/>
    <w:sig w:usb0="00000001" w:usb1="5000204A" w:usb2="00000000" w:usb3="00000000" w:csb0="0000009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746086"/>
      <w:docPartObj>
        <w:docPartGallery w:val="Page Numbers (Bottom of Page)"/>
        <w:docPartUnique/>
      </w:docPartObj>
    </w:sdtPr>
    <w:sdtEndPr>
      <w:rPr>
        <w:noProof/>
      </w:rPr>
    </w:sdtEndPr>
    <w:sdtContent>
      <w:p w:rsidR="00D77665" w:rsidRDefault="00B204B2">
        <w:pPr>
          <w:pStyle w:val="Footer"/>
          <w:jc w:val="right"/>
        </w:pPr>
        <w:r>
          <w:fldChar w:fldCharType="begin"/>
        </w:r>
        <w:r w:rsidR="00D77665">
          <w:instrText xml:space="preserve"> PAGE   \* MERGEFORMAT </w:instrText>
        </w:r>
        <w:r>
          <w:fldChar w:fldCharType="separate"/>
        </w:r>
        <w:r w:rsidR="003E77D5">
          <w:rPr>
            <w:noProof/>
          </w:rPr>
          <w:t>1</w:t>
        </w:r>
        <w:r>
          <w:rPr>
            <w:noProof/>
          </w:rPr>
          <w:fldChar w:fldCharType="end"/>
        </w:r>
      </w:p>
    </w:sdtContent>
  </w:sdt>
  <w:p w:rsidR="00D77665" w:rsidRDefault="00D776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7D5" w:rsidRDefault="003E77D5" w:rsidP="00EC26DD">
      <w:r>
        <w:separator/>
      </w:r>
    </w:p>
  </w:footnote>
  <w:footnote w:type="continuationSeparator" w:id="0">
    <w:p w:rsidR="003E77D5" w:rsidRDefault="003E77D5" w:rsidP="00EC26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14055"/>
    <w:multiLevelType w:val="hybridMultilevel"/>
    <w:tmpl w:val="05E6C19E"/>
    <w:lvl w:ilvl="0" w:tplc="C97AD45A">
      <w:start w:val="1"/>
      <w:numFmt w:val="decimal"/>
      <w:lvlText w:val="%1)"/>
      <w:lvlJc w:val="left"/>
      <w:pPr>
        <w:ind w:left="720" w:hanging="360"/>
      </w:pPr>
      <w:rPr>
        <w:rFonts w:ascii="Calibri" w:hAnsi="Calibri" w:cs="Calibri" w:hint="default"/>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A2C69E2"/>
    <w:multiLevelType w:val="hybridMultilevel"/>
    <w:tmpl w:val="BBAC29AE"/>
    <w:lvl w:ilvl="0" w:tplc="77F6B0B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544023"/>
    <w:multiLevelType w:val="hybridMultilevel"/>
    <w:tmpl w:val="9D541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1E7B73"/>
    <w:multiLevelType w:val="hybridMultilevel"/>
    <w:tmpl w:val="611A8CB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16B56C7"/>
    <w:multiLevelType w:val="hybridMultilevel"/>
    <w:tmpl w:val="9DA2FE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C44009F"/>
    <w:multiLevelType w:val="hybridMultilevel"/>
    <w:tmpl w:val="EB9435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ECF1775"/>
    <w:multiLevelType w:val="hybridMultilevel"/>
    <w:tmpl w:val="4FE8D8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C987BC0"/>
    <w:multiLevelType w:val="hybridMultilevel"/>
    <w:tmpl w:val="7B6C5C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70814994"/>
    <w:multiLevelType w:val="hybridMultilevel"/>
    <w:tmpl w:val="DE32A8D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79686082"/>
    <w:multiLevelType w:val="hybridMultilevel"/>
    <w:tmpl w:val="5A726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4"/>
  </w:num>
  <w:num w:numId="6">
    <w:abstractNumId w:val="9"/>
  </w:num>
  <w:num w:numId="7">
    <w:abstractNumId w:val="8"/>
  </w:num>
  <w:num w:numId="8">
    <w:abstractNumId w:val="2"/>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EC26DD"/>
    <w:rsid w:val="00014B7E"/>
    <w:rsid w:val="0004624E"/>
    <w:rsid w:val="00051C79"/>
    <w:rsid w:val="00086054"/>
    <w:rsid w:val="000F43B3"/>
    <w:rsid w:val="0011142B"/>
    <w:rsid w:val="00121524"/>
    <w:rsid w:val="00130DD3"/>
    <w:rsid w:val="0013110C"/>
    <w:rsid w:val="0013188E"/>
    <w:rsid w:val="00132481"/>
    <w:rsid w:val="00141FDC"/>
    <w:rsid w:val="001446C3"/>
    <w:rsid w:val="001469E8"/>
    <w:rsid w:val="001558BB"/>
    <w:rsid w:val="00176FA0"/>
    <w:rsid w:val="00181B8A"/>
    <w:rsid w:val="00193B0B"/>
    <w:rsid w:val="00193C5F"/>
    <w:rsid w:val="001A3BC1"/>
    <w:rsid w:val="001A4D25"/>
    <w:rsid w:val="001A5F5E"/>
    <w:rsid w:val="001B21FA"/>
    <w:rsid w:val="001C2A4F"/>
    <w:rsid w:val="001C451B"/>
    <w:rsid w:val="001E39FC"/>
    <w:rsid w:val="001E4332"/>
    <w:rsid w:val="001F5EC3"/>
    <w:rsid w:val="002145B4"/>
    <w:rsid w:val="00214652"/>
    <w:rsid w:val="00221D1F"/>
    <w:rsid w:val="00224443"/>
    <w:rsid w:val="00232687"/>
    <w:rsid w:val="00241F77"/>
    <w:rsid w:val="00243D01"/>
    <w:rsid w:val="00245C6B"/>
    <w:rsid w:val="00245E4C"/>
    <w:rsid w:val="00246539"/>
    <w:rsid w:val="00254D77"/>
    <w:rsid w:val="00255C04"/>
    <w:rsid w:val="0027040D"/>
    <w:rsid w:val="002A0812"/>
    <w:rsid w:val="002A5CDE"/>
    <w:rsid w:val="002B6832"/>
    <w:rsid w:val="002B69AD"/>
    <w:rsid w:val="002B7B84"/>
    <w:rsid w:val="002E207C"/>
    <w:rsid w:val="002F39DA"/>
    <w:rsid w:val="002F6BCB"/>
    <w:rsid w:val="00307530"/>
    <w:rsid w:val="00320437"/>
    <w:rsid w:val="00325E66"/>
    <w:rsid w:val="003525C2"/>
    <w:rsid w:val="00354815"/>
    <w:rsid w:val="00357DA6"/>
    <w:rsid w:val="003734C5"/>
    <w:rsid w:val="00382DFF"/>
    <w:rsid w:val="003903DE"/>
    <w:rsid w:val="00390D7A"/>
    <w:rsid w:val="00396691"/>
    <w:rsid w:val="003A3E41"/>
    <w:rsid w:val="003E4BB4"/>
    <w:rsid w:val="003E77D5"/>
    <w:rsid w:val="0040281D"/>
    <w:rsid w:val="0040455D"/>
    <w:rsid w:val="0042187E"/>
    <w:rsid w:val="00421E28"/>
    <w:rsid w:val="00424DBE"/>
    <w:rsid w:val="00425761"/>
    <w:rsid w:val="00431373"/>
    <w:rsid w:val="004367B2"/>
    <w:rsid w:val="00437C99"/>
    <w:rsid w:val="004470DA"/>
    <w:rsid w:val="004557CF"/>
    <w:rsid w:val="004669C0"/>
    <w:rsid w:val="00472573"/>
    <w:rsid w:val="00496A46"/>
    <w:rsid w:val="004A13F2"/>
    <w:rsid w:val="004A373B"/>
    <w:rsid w:val="004B2FBE"/>
    <w:rsid w:val="004C5A1D"/>
    <w:rsid w:val="004F027C"/>
    <w:rsid w:val="005156A3"/>
    <w:rsid w:val="005210AF"/>
    <w:rsid w:val="00534CD9"/>
    <w:rsid w:val="005433F2"/>
    <w:rsid w:val="00545559"/>
    <w:rsid w:val="00550765"/>
    <w:rsid w:val="00554AE7"/>
    <w:rsid w:val="00555EEA"/>
    <w:rsid w:val="00564F60"/>
    <w:rsid w:val="005667FB"/>
    <w:rsid w:val="00573176"/>
    <w:rsid w:val="0058297E"/>
    <w:rsid w:val="0059753E"/>
    <w:rsid w:val="005A356B"/>
    <w:rsid w:val="005B18C5"/>
    <w:rsid w:val="005B2BE4"/>
    <w:rsid w:val="005B6E20"/>
    <w:rsid w:val="005C7BFC"/>
    <w:rsid w:val="005E42AF"/>
    <w:rsid w:val="005F4F59"/>
    <w:rsid w:val="00631432"/>
    <w:rsid w:val="00632DE7"/>
    <w:rsid w:val="006460BE"/>
    <w:rsid w:val="00652666"/>
    <w:rsid w:val="0068520B"/>
    <w:rsid w:val="00693D55"/>
    <w:rsid w:val="006A62DE"/>
    <w:rsid w:val="006B1B84"/>
    <w:rsid w:val="006B21FC"/>
    <w:rsid w:val="006B61D3"/>
    <w:rsid w:val="006C7179"/>
    <w:rsid w:val="006D2BF4"/>
    <w:rsid w:val="00712DA2"/>
    <w:rsid w:val="007203EB"/>
    <w:rsid w:val="007212A6"/>
    <w:rsid w:val="007256A6"/>
    <w:rsid w:val="007363FE"/>
    <w:rsid w:val="00761131"/>
    <w:rsid w:val="007A2838"/>
    <w:rsid w:val="007A3C11"/>
    <w:rsid w:val="007B6A56"/>
    <w:rsid w:val="007C1970"/>
    <w:rsid w:val="007E56B9"/>
    <w:rsid w:val="007F1118"/>
    <w:rsid w:val="007F1B91"/>
    <w:rsid w:val="00804D74"/>
    <w:rsid w:val="008237D3"/>
    <w:rsid w:val="0082384E"/>
    <w:rsid w:val="0085384B"/>
    <w:rsid w:val="00870D3C"/>
    <w:rsid w:val="00881CAB"/>
    <w:rsid w:val="00881F0F"/>
    <w:rsid w:val="00886790"/>
    <w:rsid w:val="00886F03"/>
    <w:rsid w:val="0089018B"/>
    <w:rsid w:val="008B4B17"/>
    <w:rsid w:val="008C2031"/>
    <w:rsid w:val="008C3100"/>
    <w:rsid w:val="008D3FA6"/>
    <w:rsid w:val="008D460B"/>
    <w:rsid w:val="008E2002"/>
    <w:rsid w:val="008E4BC9"/>
    <w:rsid w:val="008F0205"/>
    <w:rsid w:val="008F1268"/>
    <w:rsid w:val="0093593B"/>
    <w:rsid w:val="00935B66"/>
    <w:rsid w:val="00941995"/>
    <w:rsid w:val="00946F9C"/>
    <w:rsid w:val="009676D5"/>
    <w:rsid w:val="009802F1"/>
    <w:rsid w:val="00993581"/>
    <w:rsid w:val="009959C7"/>
    <w:rsid w:val="009A3789"/>
    <w:rsid w:val="009A53C5"/>
    <w:rsid w:val="009B3E8E"/>
    <w:rsid w:val="009C08E7"/>
    <w:rsid w:val="009C6E96"/>
    <w:rsid w:val="009C7FA7"/>
    <w:rsid w:val="009D73EA"/>
    <w:rsid w:val="009E05FD"/>
    <w:rsid w:val="009E1A6A"/>
    <w:rsid w:val="009F734F"/>
    <w:rsid w:val="00A00311"/>
    <w:rsid w:val="00A1582D"/>
    <w:rsid w:val="00A32405"/>
    <w:rsid w:val="00A373FA"/>
    <w:rsid w:val="00A56856"/>
    <w:rsid w:val="00A576BB"/>
    <w:rsid w:val="00A57831"/>
    <w:rsid w:val="00A82569"/>
    <w:rsid w:val="00AC3115"/>
    <w:rsid w:val="00AD2385"/>
    <w:rsid w:val="00AD4B49"/>
    <w:rsid w:val="00AF55DD"/>
    <w:rsid w:val="00B204B2"/>
    <w:rsid w:val="00B266AD"/>
    <w:rsid w:val="00B42A7B"/>
    <w:rsid w:val="00B475C1"/>
    <w:rsid w:val="00B71620"/>
    <w:rsid w:val="00B71987"/>
    <w:rsid w:val="00B77643"/>
    <w:rsid w:val="00B81670"/>
    <w:rsid w:val="00B851A4"/>
    <w:rsid w:val="00B911BB"/>
    <w:rsid w:val="00BA0518"/>
    <w:rsid w:val="00BA3B37"/>
    <w:rsid w:val="00BA7BED"/>
    <w:rsid w:val="00BD07F9"/>
    <w:rsid w:val="00BD3674"/>
    <w:rsid w:val="00BF5E73"/>
    <w:rsid w:val="00C03465"/>
    <w:rsid w:val="00C03669"/>
    <w:rsid w:val="00C11617"/>
    <w:rsid w:val="00C20966"/>
    <w:rsid w:val="00C302ED"/>
    <w:rsid w:val="00C30339"/>
    <w:rsid w:val="00C34A55"/>
    <w:rsid w:val="00C50364"/>
    <w:rsid w:val="00C64597"/>
    <w:rsid w:val="00C71AA4"/>
    <w:rsid w:val="00C848C4"/>
    <w:rsid w:val="00C859CD"/>
    <w:rsid w:val="00C93102"/>
    <w:rsid w:val="00CA1F65"/>
    <w:rsid w:val="00CA5C1E"/>
    <w:rsid w:val="00CB2D0F"/>
    <w:rsid w:val="00CB52A5"/>
    <w:rsid w:val="00CD7453"/>
    <w:rsid w:val="00CE4C46"/>
    <w:rsid w:val="00CF3C13"/>
    <w:rsid w:val="00CF3FC9"/>
    <w:rsid w:val="00D20129"/>
    <w:rsid w:val="00D25C4C"/>
    <w:rsid w:val="00D3310E"/>
    <w:rsid w:val="00D40AC3"/>
    <w:rsid w:val="00D47644"/>
    <w:rsid w:val="00D54CA1"/>
    <w:rsid w:val="00D65769"/>
    <w:rsid w:val="00D67B13"/>
    <w:rsid w:val="00D77665"/>
    <w:rsid w:val="00D82460"/>
    <w:rsid w:val="00D9046B"/>
    <w:rsid w:val="00D905AB"/>
    <w:rsid w:val="00D90A2A"/>
    <w:rsid w:val="00D91D5D"/>
    <w:rsid w:val="00D9609A"/>
    <w:rsid w:val="00DC6715"/>
    <w:rsid w:val="00DF32AE"/>
    <w:rsid w:val="00E031F8"/>
    <w:rsid w:val="00E057F3"/>
    <w:rsid w:val="00E320D4"/>
    <w:rsid w:val="00E412AE"/>
    <w:rsid w:val="00E45155"/>
    <w:rsid w:val="00E7015E"/>
    <w:rsid w:val="00E72FD2"/>
    <w:rsid w:val="00E94D60"/>
    <w:rsid w:val="00EA0358"/>
    <w:rsid w:val="00EA0DDF"/>
    <w:rsid w:val="00EC26DD"/>
    <w:rsid w:val="00EC695D"/>
    <w:rsid w:val="00ED37E5"/>
    <w:rsid w:val="00F07374"/>
    <w:rsid w:val="00F334DE"/>
    <w:rsid w:val="00F5440F"/>
    <w:rsid w:val="00F71E40"/>
    <w:rsid w:val="00F72685"/>
    <w:rsid w:val="00F82861"/>
    <w:rsid w:val="00F93413"/>
    <w:rsid w:val="00FA28C8"/>
    <w:rsid w:val="00FA41A3"/>
    <w:rsid w:val="00FB6AFA"/>
    <w:rsid w:val="00FD5AEC"/>
    <w:rsid w:val="00FD668A"/>
    <w:rsid w:val="00FD7D0D"/>
    <w:rsid w:val="00FE2654"/>
    <w:rsid w:val="00FE2DB2"/>
    <w:rsid w:val="00FE763B"/>
    <w:rsid w:val="00FF3C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B9486E-BFA4-45EB-A4EA-BA215CEB0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4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6DD"/>
    <w:pPr>
      <w:tabs>
        <w:tab w:val="center" w:pos="4680"/>
        <w:tab w:val="right" w:pos="9360"/>
      </w:tabs>
    </w:pPr>
  </w:style>
  <w:style w:type="character" w:customStyle="1" w:styleId="HeaderChar">
    <w:name w:val="Header Char"/>
    <w:basedOn w:val="DefaultParagraphFont"/>
    <w:link w:val="Header"/>
    <w:uiPriority w:val="99"/>
    <w:rsid w:val="00EC26DD"/>
  </w:style>
  <w:style w:type="paragraph" w:styleId="Footer">
    <w:name w:val="footer"/>
    <w:basedOn w:val="Normal"/>
    <w:link w:val="FooterChar"/>
    <w:uiPriority w:val="99"/>
    <w:unhideWhenUsed/>
    <w:rsid w:val="00EC26DD"/>
    <w:pPr>
      <w:tabs>
        <w:tab w:val="center" w:pos="4680"/>
        <w:tab w:val="right" w:pos="9360"/>
      </w:tabs>
    </w:pPr>
  </w:style>
  <w:style w:type="character" w:customStyle="1" w:styleId="FooterChar">
    <w:name w:val="Footer Char"/>
    <w:basedOn w:val="DefaultParagraphFont"/>
    <w:link w:val="Footer"/>
    <w:uiPriority w:val="99"/>
    <w:rsid w:val="00EC26DD"/>
  </w:style>
  <w:style w:type="paragraph" w:styleId="ListParagraph">
    <w:name w:val="List Paragraph"/>
    <w:basedOn w:val="Normal"/>
    <w:uiPriority w:val="34"/>
    <w:qFormat/>
    <w:rsid w:val="00FA41A3"/>
    <w:pPr>
      <w:ind w:left="720"/>
      <w:contextualSpacing/>
    </w:pPr>
  </w:style>
  <w:style w:type="table" w:styleId="LightGrid">
    <w:name w:val="Light Grid"/>
    <w:basedOn w:val="TableNormal"/>
    <w:uiPriority w:val="62"/>
    <w:rsid w:val="00496A46"/>
    <w:rPr>
      <w:rFonts w:ascii="Calibri" w:eastAsia="Calibri" w:hAnsi="Calibri" w:cs="Times New Roman"/>
      <w:sz w:val="20"/>
      <w:szCs w:val="20"/>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CA5C1E"/>
    <w:rPr>
      <w:sz w:val="16"/>
      <w:szCs w:val="16"/>
    </w:rPr>
  </w:style>
  <w:style w:type="paragraph" w:styleId="CommentText">
    <w:name w:val="annotation text"/>
    <w:basedOn w:val="Normal"/>
    <w:link w:val="CommentTextChar"/>
    <w:uiPriority w:val="99"/>
    <w:semiHidden/>
    <w:unhideWhenUsed/>
    <w:rsid w:val="00CA5C1E"/>
    <w:rPr>
      <w:sz w:val="20"/>
      <w:szCs w:val="20"/>
    </w:rPr>
  </w:style>
  <w:style w:type="character" w:customStyle="1" w:styleId="CommentTextChar">
    <w:name w:val="Comment Text Char"/>
    <w:basedOn w:val="DefaultParagraphFont"/>
    <w:link w:val="CommentText"/>
    <w:uiPriority w:val="99"/>
    <w:semiHidden/>
    <w:rsid w:val="00CA5C1E"/>
    <w:rPr>
      <w:sz w:val="20"/>
      <w:szCs w:val="20"/>
    </w:rPr>
  </w:style>
  <w:style w:type="paragraph" w:styleId="CommentSubject">
    <w:name w:val="annotation subject"/>
    <w:basedOn w:val="CommentText"/>
    <w:next w:val="CommentText"/>
    <w:link w:val="CommentSubjectChar"/>
    <w:uiPriority w:val="99"/>
    <w:semiHidden/>
    <w:unhideWhenUsed/>
    <w:rsid w:val="00CA5C1E"/>
    <w:rPr>
      <w:b/>
      <w:bCs/>
    </w:rPr>
  </w:style>
  <w:style w:type="character" w:customStyle="1" w:styleId="CommentSubjectChar">
    <w:name w:val="Comment Subject Char"/>
    <w:basedOn w:val="CommentTextChar"/>
    <w:link w:val="CommentSubject"/>
    <w:uiPriority w:val="99"/>
    <w:semiHidden/>
    <w:rsid w:val="00CA5C1E"/>
    <w:rPr>
      <w:b/>
      <w:bCs/>
      <w:sz w:val="20"/>
      <w:szCs w:val="20"/>
    </w:rPr>
  </w:style>
  <w:style w:type="paragraph" w:styleId="BalloonText">
    <w:name w:val="Balloon Text"/>
    <w:basedOn w:val="Normal"/>
    <w:link w:val="BalloonTextChar"/>
    <w:uiPriority w:val="99"/>
    <w:semiHidden/>
    <w:unhideWhenUsed/>
    <w:rsid w:val="00CA5C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C1E"/>
    <w:rPr>
      <w:rFonts w:ascii="Segoe UI" w:hAnsi="Segoe UI" w:cs="Segoe UI"/>
      <w:sz w:val="18"/>
      <w:szCs w:val="18"/>
    </w:rPr>
  </w:style>
  <w:style w:type="paragraph" w:styleId="NormalWeb">
    <w:name w:val="Normal (Web)"/>
    <w:basedOn w:val="Normal"/>
    <w:uiPriority w:val="99"/>
    <w:unhideWhenUsed/>
    <w:rsid w:val="009C7FA7"/>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9C7FA7"/>
    <w:rPr>
      <w:b/>
      <w:bCs/>
    </w:rPr>
  </w:style>
  <w:style w:type="paragraph" w:styleId="Revision">
    <w:name w:val="Revision"/>
    <w:hidden/>
    <w:uiPriority w:val="99"/>
    <w:semiHidden/>
    <w:rsid w:val="009959C7"/>
  </w:style>
  <w:style w:type="character" w:customStyle="1" w:styleId="apple-converted-space">
    <w:name w:val="apple-converted-space"/>
    <w:basedOn w:val="DefaultParagraphFont"/>
    <w:rsid w:val="00DC6715"/>
  </w:style>
  <w:style w:type="paragraph" w:styleId="FootnoteText">
    <w:name w:val="footnote text"/>
    <w:aliases w:val="Footnote Text Char3,Footnote Text Char1 Char1,Footnote Text Char2 Char Char,Footnote Text Char1 Char1 Char Char,Footnote Text Char2 Char Char Char Char,Footnote Text Char1 Char1 Char Char Char Char Char,-E Fußnotentext"/>
    <w:basedOn w:val="Normal"/>
    <w:link w:val="FootnoteTextChar"/>
    <w:uiPriority w:val="99"/>
    <w:qFormat/>
    <w:rsid w:val="002B7B84"/>
    <w:rPr>
      <w:rFonts w:ascii="Times New Roman" w:eastAsia="Times New Roman" w:hAnsi="Times New Roman" w:cs="Times New Roman"/>
      <w:sz w:val="20"/>
      <w:szCs w:val="20"/>
      <w:lang w:val="en-GB" w:eastAsia="en-GB"/>
    </w:rPr>
  </w:style>
  <w:style w:type="character" w:customStyle="1" w:styleId="FootnoteTextChar">
    <w:name w:val="Footnote Text Char"/>
    <w:aliases w:val="Footnote Text Char3 Char,Footnote Text Char1 Char1 Char,Footnote Text Char2 Char Char Char,Footnote Text Char1 Char1 Char Char Char,Footnote Text Char2 Char Char Char Char Char,Footnote Text Char1 Char1 Char Char Char Char Char Char"/>
    <w:basedOn w:val="DefaultParagraphFont"/>
    <w:link w:val="FootnoteText"/>
    <w:uiPriority w:val="99"/>
    <w:rsid w:val="002B7B84"/>
    <w:rPr>
      <w:rFonts w:ascii="Times New Roman" w:eastAsia="Times New Roman" w:hAnsi="Times New Roman" w:cs="Times New Roman"/>
      <w:sz w:val="20"/>
      <w:szCs w:val="20"/>
      <w:lang w:val="en-GB" w:eastAsia="en-GB"/>
    </w:rPr>
  </w:style>
  <w:style w:type="paragraph" w:customStyle="1" w:styleId="Body">
    <w:name w:val="Body"/>
    <w:rsid w:val="00CF3C13"/>
    <w:pPr>
      <w:pBdr>
        <w:top w:val="nil"/>
        <w:left w:val="nil"/>
        <w:bottom w:val="nil"/>
        <w:right w:val="nil"/>
        <w:between w:val="nil"/>
        <w:bar w:val="nil"/>
      </w:pBdr>
    </w:pPr>
    <w:rPr>
      <w:rFonts w:ascii="Times New Roman" w:eastAsia="Arial Unicode MS" w:hAnsi="Times New Roman" w:cs="Arial Unicode MS"/>
      <w:color w:val="000000"/>
      <w:u w:color="000000"/>
      <w:bdr w:val="nil"/>
      <w:lang w:val="en-GB" w:eastAsia="en-GB"/>
    </w:rPr>
  </w:style>
  <w:style w:type="paragraph" w:styleId="PlainText">
    <w:name w:val="Plain Text"/>
    <w:basedOn w:val="Normal"/>
    <w:link w:val="PlainTextChar"/>
    <w:uiPriority w:val="99"/>
    <w:semiHidden/>
    <w:unhideWhenUsed/>
    <w:rsid w:val="005B18C5"/>
    <w:rPr>
      <w:rFonts w:ascii="Calibri" w:hAnsi="Calibri"/>
      <w:sz w:val="22"/>
      <w:szCs w:val="21"/>
      <w:lang w:val="en-GB"/>
    </w:rPr>
  </w:style>
  <w:style w:type="character" w:customStyle="1" w:styleId="PlainTextChar">
    <w:name w:val="Plain Text Char"/>
    <w:basedOn w:val="DefaultParagraphFont"/>
    <w:link w:val="PlainText"/>
    <w:uiPriority w:val="99"/>
    <w:semiHidden/>
    <w:rsid w:val="005B18C5"/>
    <w:rPr>
      <w:rFonts w:ascii="Calibri" w:hAnsi="Calibri"/>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62757">
      <w:bodyDiv w:val="1"/>
      <w:marLeft w:val="0"/>
      <w:marRight w:val="0"/>
      <w:marTop w:val="0"/>
      <w:marBottom w:val="0"/>
      <w:divBdr>
        <w:top w:val="none" w:sz="0" w:space="0" w:color="auto"/>
        <w:left w:val="none" w:sz="0" w:space="0" w:color="auto"/>
        <w:bottom w:val="none" w:sz="0" w:space="0" w:color="auto"/>
        <w:right w:val="none" w:sz="0" w:space="0" w:color="auto"/>
      </w:divBdr>
    </w:div>
    <w:div w:id="259719557">
      <w:bodyDiv w:val="1"/>
      <w:marLeft w:val="0"/>
      <w:marRight w:val="0"/>
      <w:marTop w:val="0"/>
      <w:marBottom w:val="0"/>
      <w:divBdr>
        <w:top w:val="none" w:sz="0" w:space="0" w:color="auto"/>
        <w:left w:val="none" w:sz="0" w:space="0" w:color="auto"/>
        <w:bottom w:val="none" w:sz="0" w:space="0" w:color="auto"/>
        <w:right w:val="none" w:sz="0" w:space="0" w:color="auto"/>
      </w:divBdr>
    </w:div>
    <w:div w:id="396779784">
      <w:bodyDiv w:val="1"/>
      <w:marLeft w:val="0"/>
      <w:marRight w:val="0"/>
      <w:marTop w:val="0"/>
      <w:marBottom w:val="0"/>
      <w:divBdr>
        <w:top w:val="none" w:sz="0" w:space="0" w:color="auto"/>
        <w:left w:val="none" w:sz="0" w:space="0" w:color="auto"/>
        <w:bottom w:val="none" w:sz="0" w:space="0" w:color="auto"/>
        <w:right w:val="none" w:sz="0" w:space="0" w:color="auto"/>
      </w:divBdr>
    </w:div>
    <w:div w:id="441149696">
      <w:bodyDiv w:val="1"/>
      <w:marLeft w:val="0"/>
      <w:marRight w:val="0"/>
      <w:marTop w:val="0"/>
      <w:marBottom w:val="0"/>
      <w:divBdr>
        <w:top w:val="none" w:sz="0" w:space="0" w:color="auto"/>
        <w:left w:val="none" w:sz="0" w:space="0" w:color="auto"/>
        <w:bottom w:val="none" w:sz="0" w:space="0" w:color="auto"/>
        <w:right w:val="none" w:sz="0" w:space="0" w:color="auto"/>
      </w:divBdr>
    </w:div>
    <w:div w:id="486481910">
      <w:bodyDiv w:val="1"/>
      <w:marLeft w:val="0"/>
      <w:marRight w:val="0"/>
      <w:marTop w:val="0"/>
      <w:marBottom w:val="0"/>
      <w:divBdr>
        <w:top w:val="none" w:sz="0" w:space="0" w:color="auto"/>
        <w:left w:val="none" w:sz="0" w:space="0" w:color="auto"/>
        <w:bottom w:val="none" w:sz="0" w:space="0" w:color="auto"/>
        <w:right w:val="none" w:sz="0" w:space="0" w:color="auto"/>
      </w:divBdr>
    </w:div>
    <w:div w:id="604964090">
      <w:bodyDiv w:val="1"/>
      <w:marLeft w:val="0"/>
      <w:marRight w:val="0"/>
      <w:marTop w:val="0"/>
      <w:marBottom w:val="0"/>
      <w:divBdr>
        <w:top w:val="none" w:sz="0" w:space="0" w:color="auto"/>
        <w:left w:val="none" w:sz="0" w:space="0" w:color="auto"/>
        <w:bottom w:val="none" w:sz="0" w:space="0" w:color="auto"/>
        <w:right w:val="none" w:sz="0" w:space="0" w:color="auto"/>
      </w:divBdr>
    </w:div>
    <w:div w:id="669602134">
      <w:bodyDiv w:val="1"/>
      <w:marLeft w:val="0"/>
      <w:marRight w:val="0"/>
      <w:marTop w:val="0"/>
      <w:marBottom w:val="0"/>
      <w:divBdr>
        <w:top w:val="none" w:sz="0" w:space="0" w:color="auto"/>
        <w:left w:val="none" w:sz="0" w:space="0" w:color="auto"/>
        <w:bottom w:val="none" w:sz="0" w:space="0" w:color="auto"/>
        <w:right w:val="none" w:sz="0" w:space="0" w:color="auto"/>
      </w:divBdr>
    </w:div>
    <w:div w:id="730233695">
      <w:bodyDiv w:val="1"/>
      <w:marLeft w:val="0"/>
      <w:marRight w:val="0"/>
      <w:marTop w:val="0"/>
      <w:marBottom w:val="0"/>
      <w:divBdr>
        <w:top w:val="none" w:sz="0" w:space="0" w:color="auto"/>
        <w:left w:val="none" w:sz="0" w:space="0" w:color="auto"/>
        <w:bottom w:val="none" w:sz="0" w:space="0" w:color="auto"/>
        <w:right w:val="none" w:sz="0" w:space="0" w:color="auto"/>
      </w:divBdr>
    </w:div>
    <w:div w:id="882714081">
      <w:bodyDiv w:val="1"/>
      <w:marLeft w:val="0"/>
      <w:marRight w:val="0"/>
      <w:marTop w:val="0"/>
      <w:marBottom w:val="0"/>
      <w:divBdr>
        <w:top w:val="none" w:sz="0" w:space="0" w:color="auto"/>
        <w:left w:val="none" w:sz="0" w:space="0" w:color="auto"/>
        <w:bottom w:val="none" w:sz="0" w:space="0" w:color="auto"/>
        <w:right w:val="none" w:sz="0" w:space="0" w:color="auto"/>
      </w:divBdr>
    </w:div>
    <w:div w:id="895893790">
      <w:bodyDiv w:val="1"/>
      <w:marLeft w:val="0"/>
      <w:marRight w:val="0"/>
      <w:marTop w:val="0"/>
      <w:marBottom w:val="0"/>
      <w:divBdr>
        <w:top w:val="none" w:sz="0" w:space="0" w:color="auto"/>
        <w:left w:val="none" w:sz="0" w:space="0" w:color="auto"/>
        <w:bottom w:val="none" w:sz="0" w:space="0" w:color="auto"/>
        <w:right w:val="none" w:sz="0" w:space="0" w:color="auto"/>
      </w:divBdr>
    </w:div>
    <w:div w:id="1032196168">
      <w:bodyDiv w:val="1"/>
      <w:marLeft w:val="0"/>
      <w:marRight w:val="0"/>
      <w:marTop w:val="0"/>
      <w:marBottom w:val="0"/>
      <w:divBdr>
        <w:top w:val="none" w:sz="0" w:space="0" w:color="auto"/>
        <w:left w:val="none" w:sz="0" w:space="0" w:color="auto"/>
        <w:bottom w:val="none" w:sz="0" w:space="0" w:color="auto"/>
        <w:right w:val="none" w:sz="0" w:space="0" w:color="auto"/>
      </w:divBdr>
    </w:div>
    <w:div w:id="1033076301">
      <w:bodyDiv w:val="1"/>
      <w:marLeft w:val="0"/>
      <w:marRight w:val="0"/>
      <w:marTop w:val="0"/>
      <w:marBottom w:val="0"/>
      <w:divBdr>
        <w:top w:val="none" w:sz="0" w:space="0" w:color="auto"/>
        <w:left w:val="none" w:sz="0" w:space="0" w:color="auto"/>
        <w:bottom w:val="none" w:sz="0" w:space="0" w:color="auto"/>
        <w:right w:val="none" w:sz="0" w:space="0" w:color="auto"/>
      </w:divBdr>
    </w:div>
    <w:div w:id="1149439327">
      <w:bodyDiv w:val="1"/>
      <w:marLeft w:val="0"/>
      <w:marRight w:val="0"/>
      <w:marTop w:val="0"/>
      <w:marBottom w:val="0"/>
      <w:divBdr>
        <w:top w:val="none" w:sz="0" w:space="0" w:color="auto"/>
        <w:left w:val="none" w:sz="0" w:space="0" w:color="auto"/>
        <w:bottom w:val="none" w:sz="0" w:space="0" w:color="auto"/>
        <w:right w:val="none" w:sz="0" w:space="0" w:color="auto"/>
      </w:divBdr>
    </w:div>
    <w:div w:id="1227184118">
      <w:bodyDiv w:val="1"/>
      <w:marLeft w:val="0"/>
      <w:marRight w:val="0"/>
      <w:marTop w:val="0"/>
      <w:marBottom w:val="0"/>
      <w:divBdr>
        <w:top w:val="none" w:sz="0" w:space="0" w:color="auto"/>
        <w:left w:val="none" w:sz="0" w:space="0" w:color="auto"/>
        <w:bottom w:val="none" w:sz="0" w:space="0" w:color="auto"/>
        <w:right w:val="none" w:sz="0" w:space="0" w:color="auto"/>
      </w:divBdr>
    </w:div>
    <w:div w:id="1975410314">
      <w:bodyDiv w:val="1"/>
      <w:marLeft w:val="0"/>
      <w:marRight w:val="0"/>
      <w:marTop w:val="0"/>
      <w:marBottom w:val="0"/>
      <w:divBdr>
        <w:top w:val="none" w:sz="0" w:space="0" w:color="auto"/>
        <w:left w:val="none" w:sz="0" w:space="0" w:color="auto"/>
        <w:bottom w:val="none" w:sz="0" w:space="0" w:color="auto"/>
        <w:right w:val="none" w:sz="0" w:space="0" w:color="auto"/>
      </w:divBdr>
    </w:div>
    <w:div w:id="205063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FCO Content Type" ma:contentTypeID="0x010100E71A2716C18B4E96A9B0461156806FFA00D603A772A505714D8FDABB422B40E0D6001244614665625942AFBDB6EFE08401F7" ma:contentTypeVersion="0" ma:contentTypeDescription="A content type for managing FCO Document Libraries." ma:contentTypeScope="" ma:versionID="97a63b2a2d0368a1b88071deac039541">
  <xsd:schema xmlns:xsd="http://www.w3.org/2001/XMLSchema" xmlns:p="http://schemas.microsoft.com/office/2006/metadata/properties" xmlns:ns1="http://schemas.microsoft.com/sharepoint/v3" targetNamespace="http://schemas.microsoft.com/office/2006/metadata/properties" ma:root="true" ma:fieldsID="46b19335de635a4b12ad3c89df63304d" ns1:_="">
    <xsd:import namespace="http://schemas.microsoft.com/sharepoint/v3"/>
    <xsd:element name="properties">
      <xsd:complexType>
        <xsd:sequence>
          <xsd:element name="documentManagement">
            <xsd:complexType>
              <xsd:all>
                <xsd:element ref="ns1:AlternativeTitle" minOccurs="0"/>
                <xsd:element ref="ns1:BusinessUnit" minOccurs="0"/>
                <xsd:element ref="ns1:GeographicalCoverage" minOccurs="0"/>
                <xsd:element ref="ns1:Classification"/>
                <xsd:element ref="ns1:Privacy"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AlternativeTitle" ma:index="8" nillable="true" ma:displayName="Alternative Title" ma:description="An alternative name to assist in the identification and retrieval of the document." ma:internalName="AlternativeTitle">
      <xsd:simpleType>
        <xsd:restriction base="dms:Text"/>
      </xsd:simpleType>
    </xsd:element>
    <xsd:element name="BusinessUnit" ma:index="10" nillable="true" ma:displayName="Business Unit" ma:description="The owning FCO organisational unit within which the document was created." ma:internalName="BusinessUnit">
      <xsd:simpleType>
        <xsd:restriction base="dms:Text"/>
      </xsd:simpleType>
    </xsd:element>
    <xsd:element name="GeographicalCoverage" ma:index="11" nillable="true" ma:displayName="Geographical Coverage" ma:default="&#10;     United Kingdom&#10;    " ma:description="The geographic region the document is related to." ma:internalName="GeographicalCoverage">
      <xsd:simpleType>
        <xsd:restriction base="dms:Choice">
          <xsd:enumeration value="United Kingdom"/>
          <xsd:enumeration value="Abkhasia"/>
          <xsd:enumeration value="Abu Dhabi"/>
          <xsd:enumeration value="Adriatic Sea"/>
          <xsd:enumeration value="Adygeya"/>
          <xsd:enumeration value="Aegean Sea"/>
          <xsd:enumeration value="Afghanistan"/>
          <xsd:enumeration value="Africa"/>
          <xsd:enumeration value="Ajaria"/>
          <xsd:enumeration value="Ajman"/>
          <xsd:enumeration value="Akrotiri"/>
          <xsd:enumeration value="Alabama"/>
          <xsd:enumeration value="Alaska"/>
          <xsd:enumeration value="Albania"/>
          <xsd:enumeration value="Alderney"/>
          <xsd:enumeration value="Algeria"/>
          <xsd:enumeration value="Altay"/>
          <xsd:enumeration value="America"/>
          <xsd:enumeration value="American Samoa"/>
          <xsd:enumeration value="Americas"/>
          <xsd:enumeration value="Andaman and Nicobar Islands"/>
          <xsd:enumeration value="Andorra"/>
          <xsd:enumeration value="Anglesey"/>
          <xsd:enumeration value="Angola"/>
          <xsd:enumeration value="Anguilla"/>
          <xsd:enumeration value="Antarctic"/>
          <xsd:enumeration value="Antarctica"/>
          <xsd:enumeration value="Antigua and Barbuda"/>
          <xsd:enumeration value="Antrim"/>
          <xsd:enumeration value="Arab Republic of Egypt"/>
          <xsd:enumeration value="Arabian Sea"/>
          <xsd:enumeration value="Aral Sea"/>
          <xsd:enumeration value="Arctic Ocean"/>
          <xsd:enumeration value="Argentina"/>
          <xsd:enumeration value="Argentine Republic"/>
          <xsd:enumeration value="Arizona"/>
          <xsd:enumeration value="Arkansas"/>
          <xsd:enumeration value="Armagh"/>
          <xsd:enumeration value="Armenia"/>
          <xsd:enumeration value="Aruba"/>
          <xsd:enumeration value="Ascension"/>
          <xsd:enumeration value="Ashmore and Cartier Islands"/>
          <xsd:enumeration value="Asia"/>
          <xsd:enumeration value="Atafu"/>
          <xsd:enumeration value="Atlantic Ocean"/>
          <xsd:enumeration value="Austral Islands"/>
          <xsd:enumeration value="Australia"/>
          <xsd:enumeration value="Australian Antarctic Territory"/>
          <xsd:enumeration value="Australian external territories"/>
          <xsd:enumeration value="Austria"/>
          <xsd:enumeration value="Azad Jammu and Kashmir"/>
          <xsd:enumeration value="Azad Kashmir plus Northern Areas"/>
          <xsd:enumeration value="Azerbaijan"/>
          <xsd:enumeration value="Azores"/>
          <xsd:enumeration value="Bahamas, The"/>
          <xsd:enumeration value="Bahrain"/>
          <xsd:enumeration value="Baker Island"/>
          <xsd:enumeration value="Balearic Islands"/>
          <xsd:enumeration value="Baltic Sea"/>
          <xsd:enumeration value="Baltic States"/>
          <xsd:enumeration value="Bangladesh"/>
          <xsd:enumeration value="Barbados"/>
          <xsd:enumeration value="Barents Sea"/>
          <xsd:enumeration value="Bashkortostan"/>
          <xsd:enumeration value="Bassa da India"/>
          <xsd:enumeration value="Bay of Bengal"/>
          <xsd:enumeration value="Bay of Biscay"/>
          <xsd:enumeration value="Beaufort Sea"/>
          <xsd:enumeration value="Belarus"/>
          <xsd:enumeration value="Belgium"/>
          <xsd:enumeration value="Belize"/>
          <xsd:enumeration value="Benin"/>
          <xsd:enumeration value="Bering Sea"/>
          <xsd:enumeration value="Bering Strait"/>
          <xsd:enumeration value="Bermuda"/>
          <xsd:enumeration value="Bhutan"/>
          <xsd:enumeration value="Black Sea"/>
          <xsd:enumeration value="Bolivarian Republic of Venezuela"/>
          <xsd:enumeration value="Bolivia"/>
          <xsd:enumeration value="Bonaire"/>
          <xsd:enumeration value="Bosnia and Herzegovina"/>
          <xsd:enumeration value="Botswana"/>
          <xsd:enumeration value="Bouvet Island"/>
          <xsd:enumeration value="Brazil"/>
          <xsd:enumeration value="Brecqhou"/>
          <xsd:enumeration value="British Antarctic Territory"/>
          <xsd:enumeration value="British Indian Ocean Territory"/>
          <xsd:enumeration value="British Virgin Islands"/>
          <xsd:enumeration value="Brunei"/>
          <xsd:enumeration value="Brunei Darussalam"/>
          <xsd:enumeration value="Bulgaria"/>
          <xsd:enumeration value="Burhou"/>
          <xsd:enumeration value="Burkina"/>
          <xsd:enumeration value="Burkina Faso"/>
          <xsd:enumeration value="Burma"/>
          <xsd:enumeration value="Burundi"/>
          <xsd:enumeration value="Buryatiya"/>
          <xsd:enumeration value="Cabinda"/>
          <xsd:enumeration value="Cabrera"/>
          <xsd:enumeration value="California"/>
          <xsd:enumeration value="Cambodia"/>
          <xsd:enumeration value="Cameroon"/>
          <xsd:enumeration value="Canada"/>
          <xsd:enumeration value="Canary Islands"/>
          <xsd:enumeration value="Cape Verde"/>
          <xsd:enumeration value="Caribbean Sea"/>
          <xsd:enumeration value="Carlow"/>
          <xsd:enumeration value="Caroline Islands"/>
          <xsd:enumeration value="Caspian Sea"/>
          <xsd:enumeration value="Caucasus"/>
          <xsd:enumeration value="Cavan"/>
          <xsd:enumeration value="Cayman Islands"/>
          <xsd:enumeration value="Celebes Sea"/>
          <xsd:enumeration value="Central African Republic"/>
          <xsd:enumeration value="Central America"/>
          <xsd:enumeration value="Central America and Caribbean"/>
          <xsd:enumeration value="Central Asia"/>
          <xsd:enumeration value="Ceuta"/>
          <xsd:enumeration value="Ceylon"/>
          <xsd:enumeration value="Chad"/>
          <xsd:enumeration value="Chagos Archipelago"/>
          <xsd:enumeration value="Channel Islands"/>
          <xsd:enumeration value="Chechnya"/>
          <xsd:enumeration value="Chile"/>
          <xsd:enumeration value="China"/>
          <xsd:enumeration value="Christmas Island"/>
          <xsd:enumeration value="Chuckchi Sea"/>
          <xsd:enumeration value="Chuvashiya"/>
          <xsd:enumeration value="Clare"/>
          <xsd:enumeration value="Clipperton Island"/>
          <xsd:enumeration value="Cocos Islands"/>
          <xsd:enumeration value="Colombia"/>
          <xsd:enumeration value="Colorado"/>
          <xsd:enumeration value="Commonwealth of Australia"/>
          <xsd:enumeration value="Commonwealth of Dominica"/>
          <xsd:enumeration value="Commonwealth of The Bahamas"/>
          <xsd:enumeration value="Commonwealth of the Northern Mariana Islands"/>
          <xsd:enumeration value="Comoros"/>
          <xsd:enumeration value="Comoros Islands"/>
          <xsd:enumeration value="Congo"/>
          <xsd:enumeration value="Congo (Democratic Republic)"/>
          <xsd:enumeration value="Congo Brazzaville"/>
          <xsd:enumeration value="Congo Kinshasa"/>
          <xsd:enumeration value="Connacht"/>
          <xsd:enumeration value="Connecticut"/>
          <xsd:enumeration value="Cook Islands"/>
          <xsd:enumeration value="Co-operative Republic of Guyana"/>
          <xsd:enumeration value="Coral Sea"/>
          <xsd:enumeration value="Coral Sea Islands"/>
          <xsd:enumeration value="Cork"/>
          <xsd:enumeration value="Corsica"/>
          <xsd:enumeration value="Costa Rica"/>
          <xsd:enumeration value="Cote d'Ivoire"/>
          <xsd:enumeration value="Croatia"/>
          <xsd:enumeration value="Crown Dependencies"/>
          <xsd:enumeration value="Cuba"/>
          <xsd:enumeration value="Curacao"/>
          <xsd:enumeration value="Cyprus"/>
          <xsd:enumeration value="Cyprus (Island of)"/>
          <xsd:enumeration value="Czech Republic"/>
          <xsd:enumeration value="Dagestan"/>
          <xsd:enumeration value="Delaware"/>
          <xsd:enumeration value="Democratic People's Republic of Korea"/>
          <xsd:enumeration value="Democratic Republic of Sao Tome and Principe"/>
          <xsd:enumeration value="Democratic Republic of the Congo"/>
          <xsd:enumeration value="Democratic Republic of Timor-Leste"/>
          <xsd:enumeration value="Democratic Socialist Republic of Sri Lanka"/>
          <xsd:enumeration value="Denmark"/>
          <xsd:enumeration value="Denmark Sea"/>
          <xsd:enumeration value="Dhekelia"/>
          <xsd:enumeration value="Diego Garcia"/>
          <xsd:enumeration value="District of Columbia"/>
          <xsd:enumeration value="Djibouti"/>
          <xsd:enumeration value="Dominica"/>
          <xsd:enumeration value="Dominican Republic"/>
          <xsd:enumeration value="Donegal"/>
          <xsd:enumeration value="Down"/>
          <xsd:enumeration value="Dubai"/>
          <xsd:enumeration value="Dublin"/>
          <xsd:enumeration value="East"/>
          <xsd:enumeration value="East Africa"/>
          <xsd:enumeration value="East Asia"/>
          <xsd:enumeration value="East China Sea"/>
          <xsd:enumeration value="East Jerusalem"/>
          <xsd:enumeration value="East Sea"/>
          <xsd:enumeration value="East Timor"/>
          <xsd:enumeration value="Easter Island"/>
          <xsd:enumeration value="Eastern Caribbean"/>
          <xsd:enumeration value="Eastern Europe"/>
          <xsd:enumeration value="Ecuador"/>
          <xsd:enumeration value="Egypt"/>
          <xsd:enumeration value="Eire"/>
          <xsd:enumeration value="El Hierro"/>
          <xsd:enumeration value="El Salvador"/>
          <xsd:enumeration value="England"/>
          <xsd:enumeration value="English Channel"/>
          <xsd:enumeration value="Equatorial Guinea"/>
          <xsd:enumeration value="Eritrea"/>
          <xsd:enumeration value="Estonia"/>
          <xsd:enumeration value="Ethiopia"/>
          <xsd:enumeration value="Europa Island"/>
          <xsd:enumeration value="Europe"/>
          <xsd:enumeration value="Faeroe Islands"/>
          <xsd:enumeration value="Fakaofo"/>
          <xsd:enumeration value="Falkland Islands"/>
          <xsd:enumeration value="Far East"/>
          <xsd:enumeration value="Federal Democratic Republic of Ethiopia"/>
          <xsd:enumeration value="Federal Republic of Germany"/>
          <xsd:enumeration value="Federal Republic of Nigeria"/>
          <xsd:enumeration value="Federated States of Micronesia"/>
          <xsd:enumeration value="Federation of Saint Christopher and Nevis"/>
          <xsd:enumeration value="Federative Republic of Brazil"/>
          <xsd:enumeration value="Fermanagh"/>
          <xsd:enumeration value="Fiji"/>
          <xsd:enumeration value="Finland"/>
          <xsd:enumeration value="Florida"/>
          <xsd:enumeration value="Formentera"/>
          <xsd:enumeration value="Former Yugoslav Republic of Macedonia"/>
          <xsd:enumeration value="Former Yugoslavia Republic of Serbia and Montenegro"/>
          <xsd:enumeration value="France"/>
          <xsd:enumeration value="Franz Josef Land"/>
          <xsd:enumeration value="French Guiana"/>
          <xsd:enumeration value="French Overseas Departments"/>
          <xsd:enumeration value="French Overseas Territories"/>
          <xsd:enumeration value="French Polynesia"/>
          <xsd:enumeration value="French Republic"/>
          <xsd:enumeration value="French Southern and Antarctic Lands"/>
          <xsd:enumeration value="Fuerteventura"/>
          <xsd:enumeration value="Fujairah"/>
          <xsd:enumeration value="Gabon"/>
          <xsd:enumeration value="Gabonese Republic"/>
          <xsd:enumeration value="Galapagos"/>
          <xsd:enumeration value="Galapagos Islands"/>
          <xsd:enumeration value="Galway"/>
          <xsd:enumeration value="Gambia, The"/>
          <xsd:enumeration value="Gambier Islands"/>
          <xsd:enumeration value="Gaza Strip"/>
          <xsd:enumeration value="Georgia"/>
          <xsd:enumeration value="Georgia (US State)"/>
          <xsd:enumeration value="Germany"/>
          <xsd:enumeration value="Ghana"/>
          <xsd:enumeration value="Gibraltar"/>
          <xsd:enumeration value="Gilbert Islands"/>
          <xsd:enumeration value="Glorioso Islands"/>
          <xsd:enumeration value="Gough Island"/>
          <xsd:enumeration value="Gozo"/>
          <xsd:enumeration value="Gran Canaria"/>
          <xsd:enumeration value="Grand Duchy of Luxembourg"/>
          <xsd:enumeration value="Great Sark"/>
          <xsd:enumeration value="Great Socialist People's Libyan Arab Jamahiriya"/>
          <xsd:enumeration value="Greece"/>
          <xsd:enumeration value="Greenland"/>
          <xsd:enumeration value="Greenland Sea"/>
          <xsd:enumeration value="Grenada"/>
          <xsd:enumeration value="Guadeloupe"/>
          <xsd:enumeration value="Guam"/>
          <xsd:enumeration value="Guatemala"/>
          <xsd:enumeration value="Guernsey"/>
          <xsd:enumeration value="Guinea"/>
          <xsd:enumeration value="Guinea-Bissau"/>
          <xsd:enumeration value="Gulf of Mexico"/>
          <xsd:enumeration value="Gulf of Thailand"/>
          <xsd:enumeration value="Gulf Region"/>
          <xsd:enumeration value="Guyana"/>
          <xsd:enumeration value="Haiti"/>
          <xsd:enumeration value="Hashemite Kingdom of Jordan"/>
          <xsd:enumeration value="Hawaii"/>
          <xsd:enumeration value="Heard Island and McDonald Islands"/>
          <xsd:enumeration value="Hebrides"/>
          <xsd:enumeration value="Hellenic Republic"/>
          <xsd:enumeration value="Herm"/>
          <xsd:enumeration value="Holland"/>
          <xsd:enumeration value="Honduras"/>
          <xsd:enumeration value="Hong Kong"/>
          <xsd:enumeration value="Hong Kong Special Administrative Region"/>
          <xsd:enumeration value="Howland Island"/>
          <xsd:enumeration value="Hungary"/>
          <xsd:enumeration value="Ibiza"/>
          <xsd:enumeration value="Iceland"/>
          <xsd:enumeration value="Idaho"/>
          <xsd:enumeration value="Illinois"/>
          <xsd:enumeration value="Independent State of Papua New Guinea"/>
          <xsd:enumeration value="Independent State of Samoa"/>
          <xsd:enumeration value="India"/>
          <xsd:enumeration value="Indian Ocean"/>
          <xsd:enumeration value="Indiana"/>
          <xsd:enumeration value="Indonesia"/>
          <xsd:enumeration value="Ingushetiya"/>
          <xsd:enumeration value="International Waters"/>
          <xsd:enumeration value="Iowa"/>
          <xsd:enumeration value="Iran"/>
          <xsd:enumeration value="Iraq"/>
          <xsd:enumeration value="Ireland, Republic of"/>
          <xsd:enumeration value="Irish Sea"/>
          <xsd:enumeration value="Islamic Republic of Afghanistan"/>
          <xsd:enumeration value="Islamic Republic of Iran"/>
          <xsd:enumeration value="Islamic Republic of Mauritania"/>
          <xsd:enumeration value="Islamic Republic of Pakistan"/>
          <xsd:enumeration value="Islas Malvinas"/>
          <xsd:enumeration value="Isle of Man"/>
          <xsd:enumeration value="Israel"/>
          <xsd:enumeration value="Italian Republic"/>
          <xsd:enumeration value="Italy"/>
          <xsd:enumeration value="Ivory Coast"/>
          <xsd:enumeration value="Jamaica"/>
          <xsd:enumeration value="Jammu &amp; Kashmir"/>
          <xsd:enumeration value="Jan Mayen"/>
          <xsd:enumeration value="Japan"/>
          <xsd:enumeration value="Jarvis Island"/>
          <xsd:enumeration value="Jersey"/>
          <xsd:enumeration value="Jethou"/>
          <xsd:enumeration value="Johnston Atoll"/>
          <xsd:enumeration value="Jordan"/>
          <xsd:enumeration value="Juan de Nova Island"/>
          <xsd:enumeration value="Kabardino-Balkariya"/>
          <xsd:enumeration value="Kaliningrad"/>
          <xsd:enumeration value="Kalmykiya"/>
          <xsd:enumeration value="Kampuchea"/>
          <xsd:enumeration value="Kansas"/>
          <xsd:enumeration value="Kara Sea"/>
          <xsd:enumeration value="Karachayevo-Cherkesiya"/>
          <xsd:enumeration value="Kareliya"/>
          <xsd:enumeration value="Kazakhstan"/>
          <xsd:enumeration value="Keeling Islands"/>
          <xsd:enumeration value="Kentucky"/>
          <xsd:enumeration value="Kenya"/>
          <xsd:enumeration value="Kerry"/>
          <xsd:enumeration value="Khakasiya"/>
          <xsd:enumeration value="Khmer Republic"/>
          <xsd:enumeration value="Kildare"/>
          <xsd:enumeration value="Kilkenny"/>
          <xsd:enumeration value="Kingdom of Bahrain"/>
          <xsd:enumeration value="Kingdom of Belgium"/>
          <xsd:enumeration value="Kingdom of Bhutan"/>
          <xsd:enumeration value="Kingdom of Cambodia"/>
          <xsd:enumeration value="Kingdom of Denmark"/>
          <xsd:enumeration value="Kingdom of Lesotho"/>
          <xsd:enumeration value="Kingdom of Morocco"/>
          <xsd:enumeration value="Kingdom of Nepal"/>
          <xsd:enumeration value="Kingdom of Norway"/>
          <xsd:enumeration value="Kingdom of Saudi Arabia"/>
          <xsd:enumeration value="Kingdom of Spain"/>
          <xsd:enumeration value="Kingdom of Swaziland"/>
          <xsd:enumeration value="Kingdom of Sweden"/>
          <xsd:enumeration value="Kingdom of Thailand"/>
          <xsd:enumeration value="Kingdom of the Netherlands"/>
          <xsd:enumeration value="Kingdom of Tonga"/>
          <xsd:enumeration value="Kingman Reef"/>
          <xsd:enumeration value="Kiribati"/>
          <xsd:enumeration value="Komi"/>
          <xsd:enumeration value="Korea, North"/>
          <xsd:enumeration value="Korea, South"/>
          <xsd:enumeration value="Kosovo"/>
          <xsd:enumeration value="Kurdish territories"/>
          <xsd:enumeration value="Kuwait"/>
          <xsd:enumeration value="Kyrgyz Republic"/>
          <xsd:enumeration value="Kyrgyzstan"/>
          <xsd:enumeration value="La Gomera"/>
          <xsd:enumeration value="La Graciosa"/>
          <xsd:enumeration value="La Palma"/>
          <xsd:enumeration value="Lampedusa"/>
          <xsd:enumeration value="Lanzarote"/>
          <xsd:enumeration value="Lao People's Democratic Republic"/>
          <xsd:enumeration value="Laoighis"/>
          <xsd:enumeration value="Laos"/>
          <xsd:enumeration value="Latvia"/>
          <xsd:enumeration value="Lebanese Republic"/>
          <xsd:enumeration value="Lebanon"/>
          <xsd:enumeration value="Leinster"/>
          <xsd:enumeration value="Leitrim"/>
          <xsd:enumeration value="Lesotho"/>
          <xsd:enumeration value="Liberia"/>
          <xsd:enumeration value="Libya"/>
          <xsd:enumeration value="Liechtenstein"/>
          <xsd:enumeration value="Lihou"/>
          <xsd:enumeration value="Limerick"/>
          <xsd:enumeration value="Line Islands"/>
          <xsd:enumeration value="Lithuania"/>
          <xsd:enumeration value="Little Sark"/>
          <xsd:enumeration value="London"/>
          <xsd:enumeration value="Londonderry"/>
          <xsd:enumeration value="Longford"/>
          <xsd:enumeration value="Louisiana"/>
          <xsd:enumeration value="Louth"/>
          <xsd:enumeration value="Luxembourg"/>
          <xsd:enumeration value="Macao"/>
          <xsd:enumeration value="Macao Special Administrative Region"/>
          <xsd:enumeration value="Macedonia"/>
          <xsd:enumeration value="Madagascar"/>
          <xsd:enumeration value="Madeira"/>
          <xsd:enumeration value="Maine"/>
          <xsd:enumeration value="Majorca"/>
          <xsd:enumeration value="Malawi"/>
          <xsd:enumeration value="Malaysia"/>
          <xsd:enumeration value="Maldives"/>
          <xsd:enumeration value="Mali"/>
          <xsd:enumeration value="Malta"/>
          <xsd:enumeration value="Mariy El"/>
          <xsd:enumeration value="Marquesas Islands"/>
          <xsd:enumeration value="Marshall Islands"/>
          <xsd:enumeration value="Martinique"/>
          <xsd:enumeration value="Maryland"/>
          <xsd:enumeration value="Massachusetts"/>
          <xsd:enumeration value="Mauritania"/>
          <xsd:enumeration value="Mauritius"/>
          <xsd:enumeration value="Mayo"/>
          <xsd:enumeration value="Mayotte"/>
          <xsd:enumeration value="Meath"/>
          <xsd:enumeration value="Mediterranean Sea"/>
          <xsd:enumeration value="Melilla"/>
          <xsd:enumeration value="Mexico"/>
          <xsd:enumeration value="Michigan"/>
          <xsd:enumeration value="Micronesia"/>
          <xsd:enumeration value="Middle East"/>
          <xsd:enumeration value="Midlands"/>
          <xsd:enumeration value="Midway Islands"/>
          <xsd:enumeration value="Minnesota"/>
          <xsd:enumeration value="Minorca"/>
          <xsd:enumeration value="Mississippi"/>
          <xsd:enumeration value="Missouri"/>
          <xsd:enumeration value="Moldova"/>
          <xsd:enumeration value="Monaco"/>
          <xsd:enumeration value="Monaghan"/>
          <xsd:enumeration value="Mongolia"/>
          <xsd:enumeration value="Montana"/>
          <xsd:enumeration value="Montenegro"/>
          <xsd:enumeration value="Montserrat"/>
          <xsd:enumeration value="Mordoviya"/>
          <xsd:enumeration value="Morocco"/>
          <xsd:enumeration value="Mozambique"/>
          <xsd:enumeration value="Munster"/>
          <xsd:enumeration value="Mururoa"/>
          <xsd:enumeration value="Musandam"/>
          <xsd:enumeration value="Muscat and Oman"/>
          <xsd:enumeration value="Namibia"/>
          <xsd:enumeration value="Nauru"/>
          <xsd:enumeration value="Navassa Island"/>
          <xsd:enumeration value="Near East"/>
          <xsd:enumeration value="Nebraska"/>
          <xsd:enumeration value="Nepal"/>
          <xsd:enumeration value="Netherlands"/>
          <xsd:enumeration value="Netherlands Antilles"/>
          <xsd:enumeration value="Netherlands dependencies"/>
          <xsd:enumeration value="Nevada"/>
          <xsd:enumeration value="New Hampshire"/>
          <xsd:enumeration value="New Hebrides"/>
          <xsd:enumeration value="New Jersey"/>
          <xsd:enumeration value="New Mexico"/>
          <xsd:enumeration value="New York"/>
          <xsd:enumeration value="New Zealand"/>
          <xsd:enumeration value="New Zealand dependent territories"/>
          <xsd:enumeration value="Nicaragua"/>
          <xsd:enumeration value="Niger"/>
          <xsd:enumeration value="Nigeria"/>
          <xsd:enumeration value="Niue"/>
          <xsd:enumeration value="Norfolk Island"/>
          <xsd:enumeration value="North Africa"/>
          <xsd:enumeration value="North America"/>
          <xsd:enumeration value="North Atlantic Ocean"/>
          <xsd:enumeration value="North Carolina"/>
          <xsd:enumeration value="North Dakota"/>
          <xsd:enumeration value="North East"/>
          <xsd:enumeration value="North Korea"/>
          <xsd:enumeration value="North Ossetia"/>
          <xsd:enumeration value="North Pacific Ocean"/>
          <xsd:enumeration value="North Sea"/>
          <xsd:enumeration value="North West"/>
          <xsd:enumeration value="Northern Cyprus"/>
          <xsd:enumeration value="Northern Europe"/>
          <xsd:enumeration value="Northern Ireland"/>
          <xsd:enumeration value="Northern Mariana Islands"/>
          <xsd:enumeration value="Northern Marianas"/>
          <xsd:enumeration value="Norway"/>
          <xsd:enumeration value="Norwegian Sea"/>
          <xsd:enumeration value="Norwegian Territories"/>
          <xsd:enumeration value="Novaya Zemlya"/>
          <xsd:enumeration value="Nukunonu"/>
          <xsd:enumeration value="Occupied Palestinian Territories"/>
          <xsd:enumeration value="Occupied Territories"/>
          <xsd:enumeration value="Oceania"/>
          <xsd:enumeration value="Offaly"/>
          <xsd:enumeration value="Ohio"/>
          <xsd:enumeration value="Oklahoma"/>
          <xsd:enumeration value="Oman"/>
          <xsd:enumeration value="Oregon"/>
          <xsd:enumeration value="Oriental Republic of Uruguay"/>
          <xsd:enumeration value="Orkney Islands"/>
          <xsd:enumeration value="Pacific Ocean"/>
          <xsd:enumeration value="Pakistan"/>
          <xsd:enumeration value="Palau"/>
          <xsd:enumeration value="Palestine"/>
          <xsd:enumeration value="Palestinian Territories"/>
          <xsd:enumeration value="Palmyra Atoll"/>
          <xsd:enumeration value="Panama"/>
          <xsd:enumeration value="Papua New Guinea"/>
          <xsd:enumeration value="Paracel Islands"/>
          <xsd:enumeration value="Paraguay"/>
          <xsd:enumeration value="Pennsylvania"/>
          <xsd:enumeration value="People's Democratic Republic of Algeria"/>
          <xsd:enumeration value="People's Republic of Bangladesh"/>
          <xsd:enumeration value="People's Republic of China"/>
          <xsd:enumeration value="Persian Gulf"/>
          <xsd:enumeration value="Peru"/>
          <xsd:enumeration value="Philippine Sea"/>
          <xsd:enumeration value="Philippines"/>
          <xsd:enumeration value="Phoenix Islands"/>
          <xsd:enumeration value="Pitcairn Islands"/>
          <xsd:enumeration value="Pitcairn, Henderson, Duce and Oeno Islands"/>
          <xsd:enumeration value="Poland"/>
          <xsd:enumeration value="Portugal"/>
          <xsd:enumeration value="Portugal dependent territories"/>
          <xsd:enumeration value="Portuguese Republic"/>
          <xsd:enumeration value="PRC"/>
          <xsd:enumeration value="Principality of Andorra"/>
          <xsd:enumeration value="Principality of Liechtenstein"/>
          <xsd:enumeration value="Principality of Monaco"/>
          <xsd:enumeration value="Puerto Rico"/>
          <xsd:enumeration value="Qatar"/>
          <xsd:enumeration value="Ras al Khaimah"/>
          <xsd:enumeration value="Red Sea"/>
          <xsd:enumeration value="Republic of Albania"/>
          <xsd:enumeration value="Republic of Angola"/>
          <xsd:enumeration value="Republic of Armenia"/>
          <xsd:enumeration value="Republic of Austria"/>
          <xsd:enumeration value="Republic of Azerbaijan"/>
          <xsd:enumeration value="Republic of Belarus"/>
          <xsd:enumeration value="Republic of Benin"/>
          <xsd:enumeration value="Republic of Bolivia"/>
          <xsd:enumeration value="Republic of Botswana"/>
          <xsd:enumeration value="Republic of Burundi"/>
          <xsd:enumeration value="Republic of Cameroon"/>
          <xsd:enumeration value="Republic of Cape Verde"/>
          <xsd:enumeration value="Republic of Chad"/>
          <xsd:enumeration value="Republic of Chile"/>
          <xsd:enumeration value="Republic of China"/>
          <xsd:enumeration value="Republic of Colombia"/>
          <xsd:enumeration value="Republic of Costa Rica"/>
          <xsd:enumeration value="Republic of Cote d'Ivoire"/>
          <xsd:enumeration value="Republic of Croatia"/>
          <xsd:enumeration value="Republic of Cuba"/>
          <xsd:enumeration value="Republic of Djibouti"/>
          <xsd:enumeration value="Republic of Ecuador"/>
          <xsd:enumeration value="Republic of El Salvador"/>
          <xsd:enumeration value="Republic of Equatorial Guinea"/>
          <xsd:enumeration value="Republic of Estonia"/>
          <xsd:enumeration value="Republic of Finland"/>
          <xsd:enumeration value="Republic of Ghana"/>
          <xsd:enumeration value="Republic of Guatemala"/>
          <xsd:enumeration value="Republic of Guinea"/>
          <xsd:enumeration value="Republic of Guinea-Bissau"/>
          <xsd:enumeration value="Republic of Haiti"/>
          <xsd:enumeration value="Republic of Honduras"/>
          <xsd:enumeration value="Republic of Hungary"/>
          <xsd:enumeration value="Republic of Iceland"/>
          <xsd:enumeration value="Republic of India"/>
          <xsd:enumeration value="Republic of Indonesia"/>
          <xsd:enumeration value="Republic of Iraq"/>
          <xsd:enumeration value="Republic of Kazakhstan"/>
          <xsd:enumeration value="Republic of Kenya"/>
          <xsd:enumeration value="Republic of Kiribati"/>
          <xsd:enumeration value="Republic of Korea"/>
          <xsd:enumeration value="Republic of Latvia"/>
          <xsd:enumeration value="Republic of Liberia"/>
          <xsd:enumeration value="Republic of Lithuania"/>
          <xsd:enumeration value="Republic of Macedonia"/>
          <xsd:enumeration value="Republic of Madagascar"/>
          <xsd:enumeration value="Republic of Malawi"/>
          <xsd:enumeration value="Republic of Maldives"/>
          <xsd:enumeration value="Republic of Mali"/>
          <xsd:enumeration value="Republic of Malta"/>
          <xsd:enumeration value="Republic of Mauritius"/>
          <xsd:enumeration value="Republic of Moldova"/>
          <xsd:enumeration value="Republic of Montenegro"/>
          <xsd:enumeration value="Republic of Mozambique"/>
          <xsd:enumeration value="Republic of Namibia"/>
          <xsd:enumeration value="Republic of Nauru"/>
          <xsd:enumeration value="Republic of Nicaragua"/>
          <xsd:enumeration value="Republic of Niger"/>
          <xsd:enumeration value="Republic of Palau"/>
          <xsd:enumeration value="Republic of Panama"/>
          <xsd:enumeration value="Republic of Paraguay"/>
          <xsd:enumeration value="Republic of Peru"/>
          <xsd:enumeration value="Republic of Poland"/>
          <xsd:enumeration value="Republic of San Marino"/>
          <xsd:enumeration value="Republic of Senegal"/>
          <xsd:enumeration value="Republic of Serbia"/>
          <xsd:enumeration value="Republic of Seychelles"/>
          <xsd:enumeration value="Republic of Sierra Leone"/>
          <xsd:enumeration value="Republic of Singapore"/>
          <xsd:enumeration value="Republic of Slovenia"/>
          <xsd:enumeration value="Republic of South Africa"/>
          <xsd:enumeration value="Republic of Surinam"/>
          <xsd:enumeration value="Republic of Suriname"/>
          <xsd:enumeration value="Republic of Tajikistan"/>
          <xsd:enumeration value="Republic of the Congo"/>
          <xsd:enumeration value="Republic of the Fiji Islands"/>
          <xsd:enumeration value="Republic of The Gambia"/>
          <xsd:enumeration value="Republic of the Marshall Islands"/>
          <xsd:enumeration value="Republic of the Philippines"/>
          <xsd:enumeration value="Republic of the Sudan"/>
          <xsd:enumeration value="Republic of Trinidad and Tobago"/>
          <xsd:enumeration value="Republic of Uganda"/>
          <xsd:enumeration value="Republic of Uzbekistan"/>
          <xsd:enumeration value="Republic of Vanuatu"/>
          <xsd:enumeration value="Republic of Yemen"/>
          <xsd:enumeration value="Republic of Zambia"/>
          <xsd:enumeration value="Republic of Zimbabwe"/>
          <xsd:enumeration value="Reunion Island"/>
          <xsd:enumeration value="Rhode Island"/>
          <xsd:enumeration value="ROC"/>
          <xsd:enumeration value="Romania"/>
          <xsd:enumeration value="Roscommon"/>
          <xsd:enumeration value="Russia"/>
          <xsd:enumeration value="Russian Federation"/>
          <xsd:enumeration value="Rwanda"/>
          <xsd:enumeration value="Rwandese Republic"/>
          <xsd:enumeration value="Saba"/>
          <xsd:enumeration value="Saharan Arab Democratic Republic"/>
          <xsd:enumeration value="Saint Barthélemy"/>
          <xsd:enumeration value="Saint Vincent and the Grenadines"/>
          <xsd:enumeration value="Sakha"/>
          <xsd:enumeration value="Samoa"/>
          <xsd:enumeration value="San Marino"/>
          <xsd:enumeration value="Sao Tome and Principe"/>
          <xsd:enumeration value="Sardinia"/>
          <xsd:enumeration value="Sargasso Sea"/>
          <xsd:enumeration value="Sark"/>
          <xsd:enumeration value="Saudi Arabia"/>
          <xsd:enumeration value="Scotland"/>
          <xsd:enumeration value="Sea of Azov"/>
          <xsd:enumeration value="Sea of Japan"/>
          <xsd:enumeration value="Sea of Marmaris"/>
          <xsd:enumeration value="Sea of Okhotsk"/>
          <xsd:enumeration value="Senegal"/>
          <xsd:enumeration value="Serbia"/>
          <xsd:enumeration value="Serbia and Montenegro"/>
          <xsd:enumeration value="Severnaya Osetiya-Alaniya"/>
          <xsd:enumeration value="Seychelles"/>
          <xsd:enumeration value="Sharjah"/>
          <xsd:enumeration value="Shetland Isles"/>
          <xsd:enumeration value="Sicily"/>
          <xsd:enumeration value="Sierra Leone"/>
          <xsd:enumeration value="Singapore"/>
          <xsd:enumeration value="Sligo"/>
          <xsd:enumeration value="Slovak Republic"/>
          <xsd:enumeration value="Slovakia"/>
          <xsd:enumeration value="Slovenia"/>
          <xsd:enumeration value="Socialist Republic of Vietnam"/>
          <xsd:enumeration value="Society Archipelago"/>
          <xsd:enumeration value="Socotra"/>
          <xsd:enumeration value="Solomon Islands"/>
          <xsd:enumeration value="Somali Democratic Republic"/>
          <xsd:enumeration value="Somalia"/>
          <xsd:enumeration value="Soqotra"/>
          <xsd:enumeration value="South Africa"/>
          <xsd:enumeration value="South America"/>
          <xsd:enumeration value="South Asia"/>
          <xsd:enumeration value="South Atlantic Ocean"/>
          <xsd:enumeration value="South Carolina"/>
          <xsd:enumeration value="South China Sea"/>
          <xsd:enumeration value="South Dakota"/>
          <xsd:enumeration value="South East"/>
          <xsd:enumeration value="South Georgia and the South Sandwich Islands"/>
          <xsd:enumeration value="South Korea"/>
          <xsd:enumeration value="South Pacific Ocean"/>
          <xsd:enumeration value="South West"/>
          <xsd:enumeration value="South West Africa"/>
          <xsd:enumeration value="South East Asia"/>
          <xsd:enumeration value="Southern Africa"/>
          <xsd:enumeration value="Southern Europe"/>
          <xsd:enumeration value="Southern Ocean"/>
          <xsd:enumeration value="Spain"/>
          <xsd:enumeration value="Spanish Exclaves"/>
          <xsd:enumeration value="Spratly Islands"/>
          <xsd:enumeration value="Sri Lanka"/>
          <xsd:enumeration value="St Christopher and Nevis"/>
          <xsd:enumeration value="St Eustatius"/>
          <xsd:enumeration value="St Helena"/>
          <xsd:enumeration value="St Kitts and Nevis"/>
          <xsd:enumeration value="St Maarten"/>
          <xsd:enumeration value="St. Martin"/>
          <xsd:enumeration value="St Pierre and Miquelon"/>
          <xsd:enumeration value="St. Lucia"/>
          <xsd:enumeration value="St. Vincent and the Grenadines"/>
          <xsd:enumeration value="State of Eritrea"/>
          <xsd:enumeration value="State of Israel"/>
          <xsd:enumeration value="State of Kuwait"/>
          <xsd:enumeration value="State of Qatar"/>
          <xsd:enumeration value="Sudan"/>
          <xsd:enumeration value="Suez Canal"/>
          <xsd:enumeration value="Sultanate of Oman"/>
          <xsd:enumeration value="Surinam"/>
          <xsd:enumeration value="Suriname"/>
          <xsd:enumeration value="Svalbard"/>
          <xsd:enumeration value="Swaziland"/>
          <xsd:enumeration value="Sweden"/>
          <xsd:enumeration value="Swiss Confederation"/>
          <xsd:enumeration value="Switzerland"/>
          <xsd:enumeration value="Syria"/>
          <xsd:enumeration value="Syrian Arab Republic"/>
          <xsd:enumeration value="Tahiti"/>
          <xsd:enumeration value="Taiwan"/>
          <xsd:enumeration value="Tajikistan"/>
          <xsd:enumeration value="Tanzania"/>
          <xsd:enumeration value="Tasmania"/>
          <xsd:enumeration value="Tatarstan"/>
          <xsd:enumeration value="Tenerife"/>
          <xsd:enumeration value="Tennessee"/>
          <xsd:enumeration value="Texas"/>
          <xsd:enumeration value="Thailand"/>
          <xsd:enumeration value="Tipperary"/>
          <xsd:enumeration value="Togo"/>
          <xsd:enumeration value="Togolese Republic"/>
          <xsd:enumeration value="Tokelau Islands"/>
          <xsd:enumeration value="Tonga"/>
          <xsd:enumeration value="Transdniestra"/>
          <xsd:enumeration value="Trinidad and Tobago"/>
          <xsd:enumeration value="Tristan da Cunha"/>
          <xsd:enumeration value="TRNC"/>
          <xsd:enumeration value="Tromelin Island"/>
          <xsd:enumeration value="Trust Pacific Islands"/>
          <xsd:enumeration value="Tuamotu Archipelago"/>
          <xsd:enumeration value="Tubuai Islands"/>
          <xsd:enumeration value="Tunisia"/>
          <xsd:enumeration value="Tunisian Republic"/>
          <xsd:enumeration value="Turkey"/>
          <xsd:enumeration value="Turkish Republic of Northern Cyprus"/>
          <xsd:enumeration value="Turkmenistan"/>
          <xsd:enumeration value="Turks and Caicos Islands"/>
          <xsd:enumeration value="Tuvalu"/>
          <xsd:enumeration value="Tyrone"/>
          <xsd:enumeration value="Tyrrhenian Sea"/>
          <xsd:enumeration value="Tyva"/>
          <xsd:enumeration value="UAE"/>
          <xsd:enumeration value="Udmurtiya"/>
          <xsd:enumeration value="Uganda"/>
          <xsd:enumeration value="UK"/>
          <xsd:enumeration value="UK &amp; NI"/>
          <xsd:enumeration value="UK Overseas Territories"/>
          <xsd:enumeration value="UK sovereign territories"/>
          <xsd:enumeration value="Ukraine"/>
          <xsd:enumeration value="Ulster (Irish Republic counties)"/>
          <xsd:enumeration value="Ulster (NI counties)"/>
          <xsd:enumeration value="Umm al Qaiwain"/>
          <xsd:enumeration value="Union of Myanmar"/>
          <xsd:enumeration value="Union of the Comoros"/>
          <xsd:enumeration value="United Arab Emirates"/>
          <xsd:enumeration value="United Knigdom of Great Britain and Northern Ireland"/>
          <xsd:enumeration value="United Mexican States"/>
          <xsd:enumeration value="United Republic of Tanzania"/>
          <xsd:enumeration value="United States"/>
          <xsd:enumeration value="United States dependent territories"/>
          <xsd:enumeration value="United States of America"/>
          <xsd:enumeration value="United States Virgin Islands"/>
          <xsd:enumeration value="Uruguay"/>
          <xsd:enumeration value="US"/>
          <xsd:enumeration value="US dependent territories"/>
          <xsd:enumeration value="US Virgin Islands"/>
          <xsd:enumeration value="USA"/>
          <xsd:enumeration value="USA dependent territories"/>
          <xsd:enumeration value="USA Pacific Islands"/>
          <xsd:enumeration value="Utah"/>
          <xsd:enumeration value="Uzbekistan"/>
          <xsd:enumeration value="Vanuatu"/>
          <xsd:enumeration value="Vatican City"/>
          <xsd:enumeration value="Venezuela"/>
          <xsd:enumeration value="Vermont"/>
          <xsd:enumeration value="Vietnam"/>
          <xsd:enumeration value="Virgin Islands (UK)"/>
          <xsd:enumeration value="Virginia"/>
          <xsd:enumeration value="Wake Island"/>
          <xsd:enumeration value="Wales"/>
          <xsd:enumeration value="Wallis and Futuna"/>
          <xsd:enumeration value="Washington"/>
          <xsd:enumeration value="Waterford"/>
          <xsd:enumeration value="West Africa"/>
          <xsd:enumeration value="West Bank"/>
          <xsd:enumeration value="West Virginia"/>
          <xsd:enumeration value="Western Balkans"/>
          <xsd:enumeration value="Western Caribbean"/>
          <xsd:enumeration value="Western Europe"/>
          <xsd:enumeration value="Western Sahara"/>
          <xsd:enumeration value="Western Samoa"/>
          <xsd:enumeration value="Westmeath"/>
          <xsd:enumeration value="Wexford"/>
          <xsd:enumeration value="White Sea"/>
          <xsd:enumeration value="Wicklow"/>
          <xsd:enumeration value="Wisconsin"/>
          <xsd:enumeration value="Wyoming"/>
          <xsd:enumeration value="Yakutiya"/>
          <xsd:enumeration value="Yellow Sea"/>
          <xsd:enumeration value="Yemen"/>
          <xsd:enumeration value="Zaire"/>
          <xsd:enumeration value="Zambia"/>
          <xsd:enumeration value="Zimbabwe"/>
        </xsd:restriction>
      </xsd:simpleType>
    </xsd:element>
    <xsd:element name="Classification" ma:index="12" ma:displayName="Classfication" ma:description="The security classification of the document content." ma:format="Dropdown" ma:internalName="Classification">
      <xsd:simpleType>
        <xsd:restriction base="dms:Choice">
          <xsd:enumeration value="UNCLASSIFIED"/>
          <xsd:enumeration value="PROTECT"/>
          <xsd:enumeration value="OFFICIAL"/>
        </xsd:restriction>
      </xsd:simpleType>
    </xsd:element>
    <xsd:element name="Privacy" ma:index="13" nillable="true" ma:displayName="Privacy" ma:description="Information about restrictions and permissions placed on access to view a document." ma:internalName="Privacy">
      <xsd:simpleType>
        <xsd:restriction base="dms:Choice">
          <xsd:enumeration value="APPOINTMENTS"/>
          <xsd:enumeration value="BUDGET"/>
          <xsd:enumeration value="COMMERCIAL"/>
          <xsd:enumeration value="CONSULAR"/>
          <xsd:enumeration value="CONTRACTS"/>
          <xsd:enumeration value="HONOURS"/>
          <xsd:enumeration value="INVESTIGATION"/>
          <xsd:enumeration value="LOCSEN"/>
          <xsd:enumeration value="MANAGEMENT"/>
          <xsd:enumeration value="MEDICAL"/>
          <xsd:enumeration value="NO SEC"/>
          <xsd:enumeration value="PERSONAL"/>
          <xsd:enumeration value="POLICY"/>
          <xsd:enumeration value="STAFF"/>
          <xsd:enumeration value="VISA"/>
          <xsd:enumeration value="VISITS"/>
          <xsd:enumeration value="WELFA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ma:readOnly="true"/>
        <xsd:element ref="dc:title" maxOccurs="1" ma:index="7" ma:displayName="Title"/>
        <xsd:element ref="dc:subject" minOccurs="0" maxOccurs="1"/>
        <xsd:element ref="dc:description" minOccurs="0" maxOccurs="1" ma:index="15"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rivacy xmlns="http://schemas.microsoft.com/sharepoint/v3" xsi:nil="true"/>
    <GeographicalCoverage xmlns="http://schemas.microsoft.com/sharepoint/v3">United Kingdom</GeographicalCoverage>
    <BusinessUnit xmlns="http://schemas.microsoft.com/sharepoint/v3" xsi:nil="true"/>
    <AlternativeTitle xmlns="http://schemas.microsoft.com/sharepoint/v3" xsi:nil="true"/>
    <Classification xmlns="http://schemas.microsoft.com/sharepoint/v3">OFFICIAL</Classifica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ACB71-6655-422E-AC5D-D22F0E970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6EF740F-121F-4D9A-AD9C-3CE303BD395E}">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B874E88C-3699-4230-B8F0-986032862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3119</Characters>
  <Application>Microsoft Office Word</Application>
  <DocSecurity>0</DocSecurity>
  <Lines>25</Lines>
  <Paragraphs>7</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Core messages final</vt:lpstr>
      <vt:lpstr>Core messages final</vt:lpstr>
      <vt:lpstr>Core messages final</vt:lpstr>
    </vt:vector>
  </TitlesOfParts>
  <Company>European Commission</Company>
  <LinksUpToDate>false</LinksUpToDate>
  <CharactersWithSpaces>3659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messages final</dc:title>
  <dc:creator>Radoslav Dimitrov</dc:creator>
  <cp:lastModifiedBy>Windows User</cp:lastModifiedBy>
  <cp:revision>2</cp:revision>
  <cp:lastPrinted>2018-06-08T14:17:00Z</cp:lastPrinted>
  <dcterms:created xsi:type="dcterms:W3CDTF">2018-06-13T14:35:00Z</dcterms:created>
  <dcterms:modified xsi:type="dcterms:W3CDTF">2018-06-13T14:35:00Z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0x010100E71A2716C18B4E96A9B0461156806FFA00D603A772A505714D8FDABB422B40E0D6001244614665625942AFBDB6EFE08401F7</vt:lpwstr>
  </property>
</Properties>
</file>